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3640" w14:textId="72A459BC" w:rsidR="00C83734" w:rsidRDefault="00F6661F" w:rsidP="00F6661F">
      <w:pPr>
        <w:spacing w:line="480" w:lineRule="auto"/>
        <w:ind w:left="-1701"/>
        <w:jc w:val="both"/>
        <w:rPr>
          <w:rFonts w:asciiTheme="majorBidi" w:hAnsiTheme="majorBidi" w:cstheme="majorBidi"/>
          <w:sz w:val="24"/>
          <w:szCs w:val="24"/>
          <w:lang w:val="en-US"/>
        </w:rPr>
      </w:pPr>
      <w:r w:rsidRPr="00C83734">
        <w:rPr>
          <w:rFonts w:asciiTheme="majorBidi" w:hAnsiTheme="majorBidi" w:cstheme="majorBidi"/>
          <w:noProof/>
          <w:sz w:val="24"/>
          <w:szCs w:val="24"/>
          <w:lang w:val="en-US"/>
        </w:rPr>
        <w:drawing>
          <wp:anchor distT="0" distB="0" distL="114300" distR="114300" simplePos="0" relativeHeight="251658240" behindDoc="0" locked="0" layoutInCell="1" allowOverlap="0" wp14:anchorId="16998A9A" wp14:editId="42F4AA4E">
            <wp:simplePos x="0" y="0"/>
            <wp:positionH relativeFrom="column">
              <wp:posOffset>-1077967</wp:posOffset>
            </wp:positionH>
            <wp:positionV relativeFrom="page">
              <wp:posOffset>454361</wp:posOffset>
            </wp:positionV>
            <wp:extent cx="6854400" cy="1123200"/>
            <wp:effectExtent l="0" t="0" r="3810" b="1270"/>
            <wp:wrapThrough wrapText="bothSides">
              <wp:wrapPolygon edited="0">
                <wp:start x="0" y="0"/>
                <wp:lineTo x="0" y="21258"/>
                <wp:lineTo x="21552" y="21258"/>
                <wp:lineTo x="21552"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4400" cy="1123200"/>
                    </a:xfrm>
                    <a:prstGeom prst="rect">
                      <a:avLst/>
                    </a:prstGeom>
                  </pic:spPr>
                </pic:pic>
              </a:graphicData>
            </a:graphic>
            <wp14:sizeRelH relativeFrom="margin">
              <wp14:pctWidth>0</wp14:pctWidth>
            </wp14:sizeRelH>
            <wp14:sizeRelV relativeFrom="margin">
              <wp14:pctHeight>0</wp14:pctHeight>
            </wp14:sizeRelV>
          </wp:anchor>
        </w:drawing>
      </w:r>
    </w:p>
    <w:p w14:paraId="118006EC" w14:textId="0D4030FF" w:rsidR="00C83734" w:rsidRDefault="00C83734" w:rsidP="0036407A">
      <w:pPr>
        <w:spacing w:line="480" w:lineRule="auto"/>
        <w:jc w:val="both"/>
        <w:rPr>
          <w:rFonts w:asciiTheme="majorBidi" w:hAnsiTheme="majorBidi" w:cstheme="majorBidi"/>
          <w:sz w:val="24"/>
          <w:szCs w:val="24"/>
          <w:lang w:val="en-US"/>
        </w:rPr>
      </w:pPr>
    </w:p>
    <w:p w14:paraId="1E554E1F" w14:textId="122DC787" w:rsidR="0036407A" w:rsidRDefault="0036407A" w:rsidP="004A2E30">
      <w:pPr>
        <w:spacing w:line="480" w:lineRule="auto"/>
        <w:jc w:val="both"/>
        <w:rPr>
          <w:rFonts w:asciiTheme="majorBidi" w:hAnsiTheme="majorBidi" w:cstheme="majorBidi"/>
          <w:sz w:val="24"/>
          <w:szCs w:val="24"/>
          <w:lang w:val="en-US"/>
        </w:rPr>
      </w:pPr>
    </w:p>
    <w:p w14:paraId="014C4D3B" w14:textId="3011E205" w:rsidR="002C15D9" w:rsidRDefault="002C15D9" w:rsidP="004A2E30">
      <w:pPr>
        <w:spacing w:line="480" w:lineRule="auto"/>
        <w:jc w:val="both"/>
        <w:rPr>
          <w:rFonts w:asciiTheme="majorBidi" w:hAnsiTheme="majorBidi" w:cstheme="majorBidi"/>
          <w:sz w:val="24"/>
          <w:szCs w:val="24"/>
          <w:lang w:val="en-US"/>
        </w:rPr>
      </w:pPr>
    </w:p>
    <w:p w14:paraId="5DD60B9A" w14:textId="5DF920CA" w:rsidR="002C15D9" w:rsidRDefault="002C15D9" w:rsidP="004A2E30">
      <w:pPr>
        <w:spacing w:line="480" w:lineRule="auto"/>
        <w:jc w:val="both"/>
        <w:rPr>
          <w:rFonts w:asciiTheme="majorBidi" w:hAnsiTheme="majorBidi" w:cstheme="majorBidi"/>
          <w:sz w:val="24"/>
          <w:szCs w:val="24"/>
          <w:lang w:val="en-US"/>
        </w:rPr>
      </w:pPr>
    </w:p>
    <w:p w14:paraId="396BDD32" w14:textId="77777777" w:rsidR="00F6674E" w:rsidRPr="00D806D9" w:rsidRDefault="00F6674E" w:rsidP="004A2E30">
      <w:pPr>
        <w:spacing w:line="480" w:lineRule="auto"/>
        <w:jc w:val="both"/>
        <w:rPr>
          <w:rFonts w:asciiTheme="majorBidi" w:hAnsiTheme="majorBidi" w:cstheme="majorBidi"/>
          <w:sz w:val="24"/>
          <w:szCs w:val="24"/>
          <w:lang w:val="en-US"/>
        </w:rPr>
      </w:pPr>
    </w:p>
    <w:p w14:paraId="567B326C" w14:textId="4F4A2CC7" w:rsidR="004A2E30" w:rsidRPr="00D806D9" w:rsidRDefault="004A2E30" w:rsidP="0036407A">
      <w:pPr>
        <w:autoSpaceDE w:val="0"/>
        <w:autoSpaceDN w:val="0"/>
        <w:adjustRightInd w:val="0"/>
        <w:spacing w:after="0" w:line="240" w:lineRule="auto"/>
        <w:rPr>
          <w:rFonts w:asciiTheme="majorBidi" w:hAnsiTheme="majorBidi" w:cstheme="majorBidi"/>
          <w:sz w:val="24"/>
          <w:szCs w:val="24"/>
          <w:lang w:val="en-US"/>
        </w:rPr>
      </w:pPr>
    </w:p>
    <w:p w14:paraId="549528AF" w14:textId="299F5ECC" w:rsidR="004A2E30" w:rsidRPr="00D806D9" w:rsidRDefault="00A1401F" w:rsidP="002443F7">
      <w:pPr>
        <w:spacing w:line="480" w:lineRule="auto"/>
        <w:jc w:val="center"/>
        <w:rPr>
          <w:rFonts w:asciiTheme="majorBidi" w:hAnsiTheme="majorBidi" w:cstheme="majorBidi"/>
          <w:b/>
          <w:bCs/>
          <w:sz w:val="36"/>
          <w:szCs w:val="36"/>
          <w:lang w:val="en-US"/>
        </w:rPr>
      </w:pPr>
      <w:r w:rsidRPr="00D806D9">
        <w:rPr>
          <w:rFonts w:asciiTheme="majorBidi" w:eastAsia="Times New Roman" w:hAnsiTheme="majorBidi" w:cstheme="majorBidi"/>
          <w:b/>
          <w:bCs/>
          <w:sz w:val="36"/>
          <w:szCs w:val="36"/>
          <w:lang w:val="en-US" w:eastAsia="fr-FR" w:bidi="he-IL"/>
        </w:rPr>
        <w:t xml:space="preserve">Can CCfD be an efficient </w:t>
      </w:r>
      <w:r w:rsidR="00397B73">
        <w:rPr>
          <w:rFonts w:asciiTheme="majorBidi" w:eastAsia="Times New Roman" w:hAnsiTheme="majorBidi" w:cstheme="majorBidi"/>
          <w:b/>
          <w:bCs/>
          <w:sz w:val="36"/>
          <w:szCs w:val="36"/>
          <w:lang w:val="en-US" w:eastAsia="fr-FR" w:bidi="he-IL"/>
        </w:rPr>
        <w:t>low-carbon</w:t>
      </w:r>
      <w:r w:rsidRPr="00D806D9">
        <w:rPr>
          <w:rFonts w:asciiTheme="majorBidi" w:eastAsia="Times New Roman" w:hAnsiTheme="majorBidi" w:cstheme="majorBidi"/>
          <w:b/>
          <w:bCs/>
          <w:sz w:val="36"/>
          <w:szCs w:val="36"/>
          <w:lang w:val="en-US" w:eastAsia="fr-FR" w:bidi="he-IL"/>
        </w:rPr>
        <w:t xml:space="preserve"> hydrogen innovation support instrument to meet the Paris Agreement commitments?</w:t>
      </w:r>
    </w:p>
    <w:p w14:paraId="31B4E6E0" w14:textId="0409EDC1" w:rsidR="002C15D9" w:rsidRPr="00D806D9" w:rsidRDefault="002C15D9">
      <w:pPr>
        <w:rPr>
          <w:rFonts w:asciiTheme="majorBidi" w:hAnsiTheme="majorBidi" w:cstheme="majorBidi"/>
          <w:sz w:val="24"/>
          <w:szCs w:val="24"/>
          <w:lang w:val="en-US"/>
        </w:rPr>
      </w:pPr>
    </w:p>
    <w:p w14:paraId="0BF2B871" w14:textId="5EEC26F5" w:rsidR="002C15D9" w:rsidRPr="00D806D9" w:rsidRDefault="002C15D9">
      <w:pPr>
        <w:rPr>
          <w:rFonts w:asciiTheme="majorBidi" w:hAnsiTheme="majorBidi" w:cstheme="majorBidi"/>
          <w:sz w:val="24"/>
          <w:szCs w:val="24"/>
          <w:lang w:val="en-US"/>
        </w:rPr>
      </w:pPr>
    </w:p>
    <w:p w14:paraId="249F655D" w14:textId="77777777" w:rsidR="00D806D9" w:rsidRPr="00D806D9" w:rsidRDefault="00D806D9">
      <w:pPr>
        <w:rPr>
          <w:rFonts w:asciiTheme="majorBidi" w:hAnsiTheme="majorBidi" w:cstheme="majorBidi"/>
          <w:sz w:val="24"/>
          <w:szCs w:val="24"/>
          <w:lang w:val="en-US"/>
        </w:rPr>
      </w:pPr>
    </w:p>
    <w:p w14:paraId="0BF4AE92" w14:textId="44D9C379" w:rsidR="00F6674E" w:rsidRPr="00FD6132" w:rsidRDefault="00F6674E">
      <w:pPr>
        <w:rPr>
          <w:rFonts w:asciiTheme="majorBidi" w:hAnsiTheme="majorBidi" w:cstheme="majorBidi"/>
          <w:sz w:val="24"/>
          <w:szCs w:val="24"/>
          <w:lang w:val="en-US"/>
        </w:rPr>
      </w:pPr>
    </w:p>
    <w:p w14:paraId="712CC7C7" w14:textId="77777777" w:rsidR="00F6674E" w:rsidRPr="00FD6132" w:rsidRDefault="00F6674E">
      <w:pPr>
        <w:rPr>
          <w:rFonts w:asciiTheme="majorBidi" w:hAnsiTheme="majorBidi" w:cstheme="majorBidi"/>
          <w:sz w:val="24"/>
          <w:szCs w:val="24"/>
          <w:lang w:val="en-US"/>
        </w:rPr>
      </w:pPr>
    </w:p>
    <w:p w14:paraId="77C410C2" w14:textId="37C3DA83" w:rsidR="00E113BB" w:rsidRPr="00FD6132" w:rsidRDefault="00E113BB">
      <w:pPr>
        <w:rPr>
          <w:rFonts w:asciiTheme="majorBidi" w:hAnsiTheme="majorBidi" w:cstheme="majorBidi"/>
          <w:sz w:val="24"/>
          <w:szCs w:val="24"/>
          <w:lang w:val="en-US"/>
        </w:rPr>
      </w:pPr>
    </w:p>
    <w:p w14:paraId="6FA2AD20" w14:textId="324BB28D" w:rsidR="00E113BB" w:rsidRPr="00FD6132" w:rsidRDefault="00E113BB">
      <w:pPr>
        <w:rPr>
          <w:rFonts w:asciiTheme="majorBidi" w:hAnsiTheme="majorBidi" w:cstheme="majorBidi"/>
          <w:sz w:val="24"/>
          <w:szCs w:val="24"/>
          <w:lang w:val="en-US"/>
        </w:rPr>
      </w:pPr>
    </w:p>
    <w:p w14:paraId="1D0DA8D0" w14:textId="77777777" w:rsidR="0055513C" w:rsidRPr="00FD6132" w:rsidRDefault="0055513C">
      <w:pPr>
        <w:rPr>
          <w:rFonts w:asciiTheme="majorBidi" w:hAnsiTheme="majorBidi" w:cstheme="majorBidi"/>
          <w:sz w:val="24"/>
          <w:szCs w:val="24"/>
          <w:lang w:val="en-US"/>
        </w:rPr>
      </w:pPr>
    </w:p>
    <w:p w14:paraId="49554C87" w14:textId="7C3E3BA7" w:rsidR="00AC018C" w:rsidRPr="00397B73" w:rsidRDefault="00E113BB">
      <w:pPr>
        <w:rPr>
          <w:rFonts w:asciiTheme="majorBidi" w:hAnsiTheme="majorBidi" w:cstheme="majorBidi"/>
          <w:sz w:val="24"/>
          <w:szCs w:val="24"/>
        </w:rPr>
      </w:pPr>
      <w:proofErr w:type="spellStart"/>
      <w:r w:rsidRPr="00397B73">
        <w:rPr>
          <w:rFonts w:asciiTheme="majorBidi" w:hAnsiTheme="majorBidi" w:cstheme="majorBidi"/>
          <w:b/>
          <w:bCs/>
          <w:sz w:val="24"/>
          <w:szCs w:val="24"/>
        </w:rPr>
        <w:t>Student</w:t>
      </w:r>
      <w:proofErr w:type="spellEnd"/>
      <w:r w:rsidRPr="00397B73">
        <w:rPr>
          <w:rFonts w:asciiTheme="majorBidi" w:hAnsiTheme="majorBidi" w:cstheme="majorBidi"/>
          <w:sz w:val="24"/>
          <w:szCs w:val="24"/>
        </w:rPr>
        <w:t>: Damien Vincent</w:t>
      </w:r>
    </w:p>
    <w:p w14:paraId="7A837C03" w14:textId="6F062CBC" w:rsidR="00E113BB" w:rsidRPr="00397B73" w:rsidRDefault="00E113BB">
      <w:pPr>
        <w:rPr>
          <w:rFonts w:asciiTheme="majorBidi" w:hAnsiTheme="majorBidi" w:cstheme="majorBidi"/>
          <w:sz w:val="24"/>
          <w:szCs w:val="24"/>
        </w:rPr>
      </w:pPr>
      <w:proofErr w:type="spellStart"/>
      <w:r w:rsidRPr="00397B73">
        <w:rPr>
          <w:rFonts w:asciiTheme="majorBidi" w:hAnsiTheme="majorBidi" w:cstheme="majorBidi"/>
          <w:b/>
          <w:bCs/>
          <w:sz w:val="24"/>
          <w:szCs w:val="24"/>
        </w:rPr>
        <w:t>Supervisor</w:t>
      </w:r>
      <w:proofErr w:type="spellEnd"/>
      <w:r w:rsidRPr="00397B73">
        <w:rPr>
          <w:rFonts w:asciiTheme="majorBidi" w:hAnsiTheme="majorBidi" w:cstheme="majorBidi"/>
          <w:sz w:val="24"/>
          <w:szCs w:val="24"/>
        </w:rPr>
        <w:t>: Lela Melon</w:t>
      </w:r>
    </w:p>
    <w:p w14:paraId="11C7420C" w14:textId="243D7EEF" w:rsidR="002C15D9" w:rsidRPr="00397B73" w:rsidRDefault="002C15D9">
      <w:pPr>
        <w:rPr>
          <w:rFonts w:asciiTheme="majorBidi" w:hAnsiTheme="majorBidi" w:cstheme="majorBidi"/>
          <w:sz w:val="24"/>
          <w:szCs w:val="24"/>
        </w:rPr>
      </w:pPr>
    </w:p>
    <w:p w14:paraId="2EB49DCF" w14:textId="27C22AAE" w:rsidR="00E113BB" w:rsidRPr="00FD6132" w:rsidRDefault="00AC018C" w:rsidP="00E113BB">
      <w:pPr>
        <w:spacing w:line="480" w:lineRule="auto"/>
        <w:jc w:val="both"/>
        <w:rPr>
          <w:rFonts w:asciiTheme="majorBidi" w:hAnsiTheme="majorBidi" w:cstheme="majorBidi"/>
          <w:sz w:val="24"/>
          <w:szCs w:val="24"/>
          <w:lang w:val="en-US"/>
        </w:rPr>
      </w:pPr>
      <w:r w:rsidRPr="00FD6132">
        <w:rPr>
          <w:rFonts w:asciiTheme="majorBidi" w:hAnsiTheme="majorBidi" w:cstheme="majorBidi"/>
          <w:b/>
          <w:bCs/>
          <w:sz w:val="24"/>
          <w:szCs w:val="24"/>
          <w:lang w:val="en-US"/>
        </w:rPr>
        <w:t>JEL</w:t>
      </w:r>
      <w:r w:rsidR="009D5CBC" w:rsidRPr="00FD6132">
        <w:rPr>
          <w:rFonts w:asciiTheme="majorBidi" w:hAnsiTheme="majorBidi" w:cstheme="majorBidi"/>
          <w:b/>
          <w:bCs/>
          <w:sz w:val="24"/>
          <w:szCs w:val="24"/>
          <w:lang w:val="en-US"/>
        </w:rPr>
        <w:t xml:space="preserve"> </w:t>
      </w:r>
      <w:r w:rsidRPr="00FD6132">
        <w:rPr>
          <w:rFonts w:asciiTheme="majorBidi" w:hAnsiTheme="majorBidi" w:cstheme="majorBidi"/>
          <w:b/>
          <w:bCs/>
          <w:sz w:val="24"/>
          <w:szCs w:val="24"/>
          <w:lang w:val="en-US"/>
        </w:rPr>
        <w:t>codes</w:t>
      </w:r>
      <w:r w:rsidR="009D5CBC" w:rsidRPr="00FD6132">
        <w:rPr>
          <w:rFonts w:asciiTheme="majorBidi" w:hAnsiTheme="majorBidi" w:cstheme="majorBidi"/>
          <w:sz w:val="24"/>
          <w:szCs w:val="24"/>
          <w:lang w:val="en-US"/>
        </w:rPr>
        <w:t>:</w:t>
      </w:r>
      <w:r w:rsidR="00E113BB" w:rsidRPr="00FD6132">
        <w:rPr>
          <w:rFonts w:asciiTheme="majorBidi" w:hAnsiTheme="majorBidi" w:cstheme="majorBidi"/>
          <w:sz w:val="24"/>
          <w:szCs w:val="24"/>
          <w:lang w:val="en-US"/>
        </w:rPr>
        <w:t xml:space="preserve"> </w:t>
      </w:r>
      <w:r w:rsidR="00596076" w:rsidRPr="00FD6132">
        <w:rPr>
          <w:rFonts w:asciiTheme="majorBidi" w:hAnsiTheme="majorBidi" w:cstheme="majorBidi"/>
          <w:sz w:val="24"/>
          <w:szCs w:val="24"/>
          <w:lang w:val="en-US"/>
        </w:rPr>
        <w:t xml:space="preserve">K32, </w:t>
      </w:r>
      <w:r w:rsidR="00D806D9" w:rsidRPr="00FD6132">
        <w:rPr>
          <w:rFonts w:asciiTheme="majorBidi" w:hAnsiTheme="majorBidi" w:cstheme="majorBidi"/>
          <w:sz w:val="24"/>
          <w:szCs w:val="24"/>
          <w:lang w:val="en-US"/>
        </w:rPr>
        <w:t xml:space="preserve">O31, </w:t>
      </w:r>
      <w:r w:rsidR="00596076" w:rsidRPr="00FD6132">
        <w:rPr>
          <w:rFonts w:asciiTheme="majorBidi" w:hAnsiTheme="majorBidi" w:cstheme="majorBidi"/>
          <w:sz w:val="24"/>
          <w:szCs w:val="24"/>
          <w:lang w:val="en-US"/>
        </w:rPr>
        <w:t>Q55</w:t>
      </w:r>
    </w:p>
    <w:p w14:paraId="663B4F9E" w14:textId="6216E09E" w:rsidR="002C15D9" w:rsidRPr="00FD6132" w:rsidRDefault="002C15D9">
      <w:pPr>
        <w:rPr>
          <w:rFonts w:asciiTheme="majorBidi" w:hAnsiTheme="majorBidi" w:cstheme="majorBidi"/>
          <w:sz w:val="24"/>
          <w:szCs w:val="24"/>
          <w:lang w:val="en-US"/>
        </w:rPr>
      </w:pPr>
    </w:p>
    <w:p w14:paraId="66371A91" w14:textId="6B031580" w:rsidR="002C15D9" w:rsidRPr="00FD6132" w:rsidRDefault="002C15D9">
      <w:pPr>
        <w:rPr>
          <w:rFonts w:asciiTheme="majorBidi" w:hAnsiTheme="majorBidi" w:cstheme="majorBidi"/>
          <w:sz w:val="24"/>
          <w:szCs w:val="24"/>
          <w:lang w:val="en-US"/>
        </w:rPr>
      </w:pPr>
    </w:p>
    <w:p w14:paraId="705CADC2" w14:textId="2E82D8CC" w:rsidR="002C15D9" w:rsidRPr="00FD6132" w:rsidRDefault="002C15D9">
      <w:pPr>
        <w:rPr>
          <w:rFonts w:asciiTheme="majorBidi" w:hAnsiTheme="majorBidi" w:cstheme="majorBidi"/>
          <w:sz w:val="24"/>
          <w:szCs w:val="24"/>
          <w:lang w:val="en-US"/>
        </w:rPr>
      </w:pPr>
    </w:p>
    <w:p w14:paraId="6CC3E48C" w14:textId="3223B1EA" w:rsidR="002C15D9" w:rsidRPr="00FD6132" w:rsidRDefault="002C15D9">
      <w:pPr>
        <w:rPr>
          <w:rFonts w:asciiTheme="majorBidi" w:hAnsiTheme="majorBidi" w:cstheme="majorBidi"/>
          <w:sz w:val="24"/>
          <w:szCs w:val="24"/>
          <w:lang w:val="en-US"/>
        </w:rPr>
      </w:pPr>
    </w:p>
    <w:p w14:paraId="1E6D3CF2" w14:textId="5FC7C8B5" w:rsidR="002C15D9" w:rsidRPr="00FD6132" w:rsidRDefault="002C15D9">
      <w:pPr>
        <w:rPr>
          <w:rFonts w:asciiTheme="majorBidi" w:hAnsiTheme="majorBidi" w:cstheme="majorBidi"/>
          <w:sz w:val="24"/>
          <w:szCs w:val="24"/>
          <w:lang w:val="en-US"/>
        </w:rPr>
      </w:pPr>
    </w:p>
    <w:p w14:paraId="0E6BBBD2" w14:textId="561128A0" w:rsidR="002C15D9" w:rsidRPr="00FD6132" w:rsidRDefault="002C15D9">
      <w:pPr>
        <w:rPr>
          <w:rFonts w:asciiTheme="majorBidi" w:hAnsiTheme="majorBidi" w:cstheme="majorBidi"/>
          <w:sz w:val="24"/>
          <w:szCs w:val="24"/>
          <w:lang w:val="en-US"/>
        </w:rPr>
      </w:pPr>
    </w:p>
    <w:p w14:paraId="6B506AF3" w14:textId="0723CA8A" w:rsidR="002C15D9" w:rsidRPr="00FD6132" w:rsidRDefault="002C15D9">
      <w:pPr>
        <w:rPr>
          <w:rFonts w:asciiTheme="majorBidi" w:hAnsiTheme="majorBidi" w:cstheme="majorBidi"/>
          <w:sz w:val="24"/>
          <w:szCs w:val="24"/>
          <w:lang w:val="en-US"/>
        </w:rPr>
      </w:pPr>
    </w:p>
    <w:p w14:paraId="18CDBADF" w14:textId="77777777" w:rsidR="00C83734" w:rsidRPr="00FD6132" w:rsidRDefault="00C83734" w:rsidP="0036407A">
      <w:pPr>
        <w:spacing w:line="480" w:lineRule="auto"/>
        <w:jc w:val="both"/>
        <w:rPr>
          <w:rFonts w:asciiTheme="majorBidi" w:hAnsiTheme="majorBidi" w:cstheme="majorBidi"/>
          <w:sz w:val="24"/>
          <w:szCs w:val="24"/>
          <w:lang w:val="en-US"/>
        </w:rPr>
      </w:pPr>
    </w:p>
    <w:p w14:paraId="3305826D" w14:textId="0A5316FE" w:rsidR="0036407A" w:rsidRPr="00D806D9" w:rsidRDefault="0036407A" w:rsidP="0036407A">
      <w:pPr>
        <w:spacing w:line="48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I hereby declare and confirm that this thesis is entirely the result of my own work except where otherwise indicated. I acknowledge the supervision and guidance I have received from Lela Melon. This thesis is not used as part of any other examination and has not yet been published.</w:t>
      </w:r>
    </w:p>
    <w:p w14:paraId="30A5D216" w14:textId="77777777" w:rsidR="00C83734" w:rsidRPr="00D806D9" w:rsidRDefault="00C83734" w:rsidP="0036407A">
      <w:pPr>
        <w:spacing w:line="480" w:lineRule="auto"/>
        <w:jc w:val="both"/>
        <w:rPr>
          <w:rFonts w:asciiTheme="majorBidi" w:hAnsiTheme="majorBidi" w:cstheme="majorBidi"/>
          <w:sz w:val="24"/>
          <w:szCs w:val="24"/>
          <w:lang w:val="en-US"/>
        </w:rPr>
      </w:pPr>
    </w:p>
    <w:p w14:paraId="67DC40E9" w14:textId="6479583A" w:rsidR="0036407A" w:rsidRPr="00D806D9" w:rsidRDefault="0036407A" w:rsidP="00CB2D8A">
      <w:pPr>
        <w:rPr>
          <w:rFonts w:asciiTheme="majorBidi" w:hAnsiTheme="majorBidi" w:cstheme="majorBidi"/>
          <w:sz w:val="24"/>
          <w:szCs w:val="24"/>
          <w:lang w:val="en-US"/>
        </w:rPr>
      </w:pPr>
      <w:r w:rsidRPr="00D806D9">
        <w:rPr>
          <w:rFonts w:asciiTheme="majorBidi" w:hAnsiTheme="majorBidi" w:cstheme="majorBidi"/>
          <w:sz w:val="24"/>
          <w:szCs w:val="24"/>
          <w:lang w:val="en-US"/>
        </w:rPr>
        <w:t>10/08/2022</w:t>
      </w:r>
    </w:p>
    <w:p w14:paraId="7F73CDD0" w14:textId="7074E38A" w:rsidR="0036407A" w:rsidRPr="00D806D9" w:rsidRDefault="0036407A" w:rsidP="00CB2D8A">
      <w:pPr>
        <w:rPr>
          <w:rFonts w:asciiTheme="majorBidi" w:hAnsiTheme="majorBidi" w:cstheme="majorBidi"/>
          <w:sz w:val="24"/>
          <w:szCs w:val="24"/>
          <w:lang w:val="en-US"/>
        </w:rPr>
      </w:pPr>
      <w:r w:rsidRPr="00D806D9">
        <w:rPr>
          <w:rFonts w:asciiTheme="majorBidi" w:hAnsiTheme="majorBidi" w:cstheme="majorBidi"/>
          <w:sz w:val="24"/>
          <w:szCs w:val="24"/>
          <w:lang w:val="en-US"/>
        </w:rPr>
        <w:t>Damien Vincent</w:t>
      </w:r>
    </w:p>
    <w:p w14:paraId="7B5DC818" w14:textId="7CCC53E3" w:rsidR="0068594C" w:rsidRPr="00D806D9" w:rsidRDefault="002C15D9" w:rsidP="00CB2D8A">
      <w:pPr>
        <w:rPr>
          <w:rFonts w:asciiTheme="majorBidi" w:hAnsiTheme="majorBidi" w:cstheme="majorBidi"/>
          <w:sz w:val="24"/>
          <w:szCs w:val="24"/>
          <w:lang w:val="en-US"/>
        </w:rPr>
      </w:pPr>
      <w:r w:rsidRPr="00D806D9">
        <w:rPr>
          <w:noProof/>
          <w:lang w:val="en-US"/>
        </w:rPr>
        <w:drawing>
          <wp:inline distT="0" distB="0" distL="0" distR="0" wp14:anchorId="09A9795F" wp14:editId="193326B8">
            <wp:extent cx="744279" cy="579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832" cy="591806"/>
                    </a:xfrm>
                    <a:prstGeom prst="rect">
                      <a:avLst/>
                    </a:prstGeom>
                    <a:noFill/>
                    <a:ln>
                      <a:noFill/>
                    </a:ln>
                  </pic:spPr>
                </pic:pic>
              </a:graphicData>
            </a:graphic>
          </wp:inline>
        </w:drawing>
      </w:r>
    </w:p>
    <w:p w14:paraId="2A31F678" w14:textId="77777777" w:rsidR="0068594C" w:rsidRPr="00D806D9" w:rsidRDefault="0068594C">
      <w:pPr>
        <w:rPr>
          <w:rFonts w:asciiTheme="majorBidi" w:hAnsiTheme="majorBidi" w:cstheme="majorBidi"/>
          <w:sz w:val="24"/>
          <w:szCs w:val="24"/>
          <w:lang w:val="en-US"/>
        </w:rPr>
      </w:pPr>
      <w:r w:rsidRPr="00D806D9">
        <w:rPr>
          <w:rFonts w:asciiTheme="majorBidi" w:hAnsiTheme="majorBidi" w:cstheme="majorBidi"/>
          <w:sz w:val="24"/>
          <w:szCs w:val="24"/>
          <w:lang w:val="en-US"/>
        </w:rPr>
        <w:br w:type="page"/>
      </w:r>
    </w:p>
    <w:p w14:paraId="01524827" w14:textId="02FCDF07" w:rsidR="00F23FA5" w:rsidRPr="00D806D9" w:rsidRDefault="00C37CF2" w:rsidP="00F23FA5">
      <w:pPr>
        <w:spacing w:after="0" w:line="480" w:lineRule="auto"/>
        <w:jc w:val="both"/>
        <w:rPr>
          <w:rFonts w:asciiTheme="majorBidi" w:hAnsiTheme="majorBidi" w:cstheme="majorBidi"/>
          <w:sz w:val="24"/>
          <w:szCs w:val="24"/>
          <w:lang w:val="en-US"/>
        </w:rPr>
      </w:pPr>
      <w:r w:rsidRPr="00D806D9">
        <w:rPr>
          <w:rFonts w:asciiTheme="majorBidi" w:hAnsiTheme="majorBidi" w:cstheme="majorBidi"/>
          <w:b/>
          <w:bCs/>
          <w:sz w:val="24"/>
          <w:szCs w:val="24"/>
          <w:lang w:val="en-US"/>
        </w:rPr>
        <w:lastRenderedPageBreak/>
        <w:t>Abstract</w:t>
      </w:r>
      <w:r w:rsidRPr="00D806D9">
        <w:rPr>
          <w:rFonts w:asciiTheme="majorBidi" w:hAnsiTheme="majorBidi" w:cstheme="majorBidi"/>
          <w:sz w:val="24"/>
          <w:szCs w:val="24"/>
          <w:lang w:val="en-US"/>
        </w:rPr>
        <w:t>:</w:t>
      </w:r>
      <w:r w:rsidR="00F23FA5" w:rsidRPr="00D806D9">
        <w:rPr>
          <w:rFonts w:asciiTheme="majorBidi" w:hAnsiTheme="majorBidi" w:cstheme="majorBidi"/>
          <w:sz w:val="24"/>
          <w:szCs w:val="24"/>
          <w:lang w:val="en-US"/>
        </w:rPr>
        <w:t xml:space="preserve"> </w:t>
      </w:r>
      <w:r w:rsidR="006D3AED" w:rsidRPr="00D806D9">
        <w:rPr>
          <w:rFonts w:asciiTheme="majorBidi" w:hAnsiTheme="majorBidi" w:cstheme="majorBidi"/>
          <w:sz w:val="24"/>
          <w:szCs w:val="24"/>
          <w:lang w:val="en-US"/>
        </w:rPr>
        <w:t xml:space="preserve">To meet </w:t>
      </w:r>
      <w:r w:rsidR="001414D2" w:rsidRPr="00D806D9">
        <w:rPr>
          <w:rFonts w:asciiTheme="majorBidi" w:hAnsiTheme="majorBidi" w:cstheme="majorBidi"/>
          <w:sz w:val="24"/>
          <w:szCs w:val="24"/>
          <w:lang w:val="en-US"/>
        </w:rPr>
        <w:t>PA</w:t>
      </w:r>
      <w:r w:rsidR="006D3AED" w:rsidRPr="00D806D9">
        <w:rPr>
          <w:rFonts w:asciiTheme="majorBidi" w:hAnsiTheme="majorBidi" w:cstheme="majorBidi"/>
          <w:sz w:val="24"/>
          <w:szCs w:val="24"/>
          <w:lang w:val="en-US"/>
        </w:rPr>
        <w:t xml:space="preserve"> objectives</w:t>
      </w:r>
      <w:r w:rsidR="001414D2" w:rsidRPr="00D806D9">
        <w:rPr>
          <w:rFonts w:asciiTheme="majorBidi" w:hAnsiTheme="majorBidi" w:cstheme="majorBidi"/>
          <w:sz w:val="24"/>
          <w:szCs w:val="24"/>
          <w:lang w:val="en-US"/>
        </w:rPr>
        <w:t xml:space="preserve">, </w:t>
      </w:r>
      <w:r w:rsidR="006D3AED" w:rsidRPr="00D806D9">
        <w:rPr>
          <w:rFonts w:asciiTheme="majorBidi" w:hAnsiTheme="majorBidi" w:cstheme="majorBidi"/>
          <w:sz w:val="24"/>
          <w:szCs w:val="24"/>
          <w:lang w:val="en-US"/>
        </w:rPr>
        <w:t>counter the effects of the</w:t>
      </w:r>
      <w:r w:rsidR="00F23FA5" w:rsidRPr="00D806D9">
        <w:rPr>
          <w:rFonts w:asciiTheme="majorBidi" w:hAnsiTheme="majorBidi" w:cstheme="majorBidi"/>
          <w:sz w:val="24"/>
          <w:szCs w:val="24"/>
          <w:lang w:val="en-US"/>
        </w:rPr>
        <w:t xml:space="preserve"> Covid crisis and the Ukraine war</w:t>
      </w:r>
      <w:r w:rsidR="006D3AED" w:rsidRPr="00D806D9">
        <w:rPr>
          <w:rFonts w:asciiTheme="majorBidi" w:hAnsiTheme="majorBidi" w:cstheme="majorBidi"/>
          <w:sz w:val="24"/>
          <w:szCs w:val="24"/>
          <w:lang w:val="en-US"/>
        </w:rPr>
        <w:t xml:space="preserve">, the European Commission </w:t>
      </w:r>
      <w:r w:rsidR="00F23FA5" w:rsidRPr="00D806D9">
        <w:rPr>
          <w:rFonts w:asciiTheme="majorBidi" w:hAnsiTheme="majorBidi" w:cstheme="majorBidi"/>
          <w:sz w:val="24"/>
          <w:szCs w:val="24"/>
          <w:lang w:val="en-US"/>
        </w:rPr>
        <w:t>strengthen</w:t>
      </w:r>
      <w:r w:rsidR="006D3AED" w:rsidRPr="00D806D9">
        <w:rPr>
          <w:rFonts w:asciiTheme="majorBidi" w:hAnsiTheme="majorBidi" w:cstheme="majorBidi"/>
          <w:sz w:val="24"/>
          <w:szCs w:val="24"/>
          <w:lang w:val="en-US"/>
        </w:rPr>
        <w:t>ed</w:t>
      </w:r>
      <w:r w:rsidR="00F23FA5" w:rsidRPr="00D806D9">
        <w:rPr>
          <w:rFonts w:asciiTheme="majorBidi" w:hAnsiTheme="majorBidi" w:cstheme="majorBidi"/>
          <w:sz w:val="24"/>
          <w:szCs w:val="24"/>
          <w:lang w:val="en-US"/>
        </w:rPr>
        <w:t xml:space="preserve"> its climate ambitions through stimulus packages and legislative proposal</w:t>
      </w:r>
      <w:r w:rsidR="006D3AED" w:rsidRPr="00D806D9">
        <w:rPr>
          <w:rFonts w:asciiTheme="majorBidi" w:hAnsiTheme="majorBidi" w:cstheme="majorBidi"/>
          <w:sz w:val="24"/>
          <w:szCs w:val="24"/>
          <w:lang w:val="en-US"/>
        </w:rPr>
        <w:t>s</w:t>
      </w:r>
      <w:r w:rsidR="00F23FA5" w:rsidRPr="00D806D9">
        <w:rPr>
          <w:rFonts w:asciiTheme="majorBidi" w:hAnsiTheme="majorBidi" w:cstheme="majorBidi"/>
          <w:sz w:val="24"/>
          <w:szCs w:val="24"/>
          <w:lang w:val="en-US"/>
        </w:rPr>
        <w:t xml:space="preserve">. </w:t>
      </w:r>
      <w:r w:rsidR="001414D2" w:rsidRPr="00D806D9">
        <w:rPr>
          <w:rFonts w:asciiTheme="majorBidi" w:hAnsiTheme="majorBidi" w:cstheme="majorBidi"/>
          <w:sz w:val="24"/>
          <w:szCs w:val="24"/>
          <w:lang w:val="en-US"/>
        </w:rPr>
        <w:t>I</w:t>
      </w:r>
      <w:r w:rsidR="00F23FA5" w:rsidRPr="00D806D9">
        <w:rPr>
          <w:rFonts w:asciiTheme="majorBidi" w:hAnsiTheme="majorBidi" w:cstheme="majorBidi"/>
          <w:sz w:val="24"/>
          <w:szCs w:val="24"/>
          <w:lang w:val="en-US"/>
        </w:rPr>
        <w:t xml:space="preserve">t announced that </w:t>
      </w:r>
      <w:r w:rsidR="0032122B" w:rsidRPr="00D806D9">
        <w:rPr>
          <w:rFonts w:asciiTheme="majorBidi" w:hAnsiTheme="majorBidi" w:cstheme="majorBidi"/>
          <w:sz w:val="24"/>
          <w:szCs w:val="24"/>
          <w:lang w:val="en-US"/>
        </w:rPr>
        <w:t>CCfD</w:t>
      </w:r>
      <w:r w:rsidR="00F23FA5" w:rsidRPr="00D806D9">
        <w:rPr>
          <w:rFonts w:asciiTheme="majorBidi" w:hAnsiTheme="majorBidi" w:cstheme="majorBidi"/>
          <w:sz w:val="24"/>
          <w:szCs w:val="24"/>
          <w:lang w:val="en-US"/>
        </w:rPr>
        <w:t xml:space="preserve"> </w:t>
      </w:r>
      <w:r w:rsidR="00B87D91" w:rsidRPr="00D806D9">
        <w:rPr>
          <w:rFonts w:asciiTheme="majorBidi" w:hAnsiTheme="majorBidi" w:cstheme="majorBidi"/>
          <w:sz w:val="24"/>
          <w:szCs w:val="24"/>
          <w:lang w:val="en-US"/>
        </w:rPr>
        <w:t>would</w:t>
      </w:r>
      <w:r w:rsidR="00F23FA5" w:rsidRPr="00D806D9">
        <w:rPr>
          <w:rFonts w:asciiTheme="majorBidi" w:hAnsiTheme="majorBidi" w:cstheme="majorBidi"/>
          <w:sz w:val="24"/>
          <w:szCs w:val="24"/>
          <w:lang w:val="en-US"/>
        </w:rPr>
        <w:t xml:space="preserve"> be implemented within the current EU-ETS reform to </w:t>
      </w:r>
      <w:r w:rsidR="0032122B" w:rsidRPr="00D806D9">
        <w:rPr>
          <w:rFonts w:asciiTheme="majorBidi" w:hAnsiTheme="majorBidi" w:cstheme="majorBidi"/>
          <w:sz w:val="24"/>
          <w:szCs w:val="24"/>
          <w:lang w:val="en-US"/>
        </w:rPr>
        <w:t>support innovation in the</w:t>
      </w:r>
      <w:r w:rsidR="00F23FA5" w:rsidRPr="00D806D9">
        <w:rPr>
          <w:rFonts w:asciiTheme="majorBidi" w:hAnsiTheme="majorBidi" w:cstheme="majorBidi"/>
          <w:sz w:val="24"/>
          <w:szCs w:val="24"/>
          <w:lang w:val="en-US"/>
        </w:rPr>
        <w:t xml:space="preserve"> </w:t>
      </w:r>
      <w:r w:rsidR="00397B73">
        <w:rPr>
          <w:rFonts w:asciiTheme="majorBidi" w:hAnsiTheme="majorBidi" w:cstheme="majorBidi"/>
          <w:sz w:val="24"/>
          <w:szCs w:val="24"/>
          <w:lang w:val="en-US"/>
        </w:rPr>
        <w:t>low-carbon</w:t>
      </w:r>
      <w:r w:rsidR="00F23FA5" w:rsidRPr="00D806D9">
        <w:rPr>
          <w:rFonts w:asciiTheme="majorBidi" w:hAnsiTheme="majorBidi" w:cstheme="majorBidi"/>
          <w:sz w:val="24"/>
          <w:szCs w:val="24"/>
          <w:lang w:val="en-US"/>
        </w:rPr>
        <w:t xml:space="preserve"> hydrogen</w:t>
      </w:r>
      <w:r w:rsidR="0032122B" w:rsidRPr="00D806D9">
        <w:rPr>
          <w:rFonts w:asciiTheme="majorBidi" w:hAnsiTheme="majorBidi" w:cstheme="majorBidi"/>
          <w:sz w:val="24"/>
          <w:szCs w:val="24"/>
          <w:lang w:val="en-US"/>
        </w:rPr>
        <w:t xml:space="preserve"> </w:t>
      </w:r>
      <w:r w:rsidR="00796875" w:rsidRPr="00D806D9">
        <w:rPr>
          <w:rFonts w:asciiTheme="majorBidi" w:hAnsiTheme="majorBidi" w:cstheme="majorBidi"/>
          <w:sz w:val="24"/>
          <w:szCs w:val="24"/>
          <w:lang w:val="en-US"/>
        </w:rPr>
        <w:t>sector</w:t>
      </w:r>
      <w:r w:rsidR="00B87D91" w:rsidRPr="00D806D9">
        <w:rPr>
          <w:rFonts w:asciiTheme="majorBidi" w:hAnsiTheme="majorBidi" w:cstheme="majorBidi"/>
          <w:sz w:val="24"/>
          <w:szCs w:val="24"/>
          <w:lang w:val="en-US"/>
        </w:rPr>
        <w:t>. B</w:t>
      </w:r>
      <w:r w:rsidR="00796875" w:rsidRPr="00D806D9">
        <w:rPr>
          <w:rFonts w:asciiTheme="majorBidi" w:hAnsiTheme="majorBidi" w:cstheme="majorBidi"/>
          <w:sz w:val="24"/>
          <w:szCs w:val="24"/>
          <w:lang w:val="en-US"/>
        </w:rPr>
        <w:t xml:space="preserve">eing perceived as a </w:t>
      </w:r>
      <w:r w:rsidR="0032122B" w:rsidRPr="00D806D9">
        <w:rPr>
          <w:rFonts w:asciiTheme="majorBidi" w:hAnsiTheme="majorBidi" w:cstheme="majorBidi"/>
          <w:sz w:val="24"/>
          <w:szCs w:val="24"/>
          <w:lang w:val="en-US"/>
        </w:rPr>
        <w:t>transformative solution</w:t>
      </w:r>
      <w:r w:rsidR="00B87D91" w:rsidRPr="00D806D9">
        <w:rPr>
          <w:rFonts w:asciiTheme="majorBidi" w:hAnsiTheme="majorBidi" w:cstheme="majorBidi"/>
          <w:sz w:val="24"/>
          <w:szCs w:val="24"/>
          <w:lang w:val="en-US"/>
        </w:rPr>
        <w:t xml:space="preserve">, </w:t>
      </w:r>
      <w:r w:rsidR="0032122B" w:rsidRPr="00D806D9">
        <w:rPr>
          <w:rFonts w:asciiTheme="majorBidi" w:hAnsiTheme="majorBidi" w:cstheme="majorBidi"/>
          <w:sz w:val="24"/>
          <w:szCs w:val="24"/>
          <w:lang w:val="en-US"/>
        </w:rPr>
        <w:t xml:space="preserve">the related technologies are </w:t>
      </w:r>
      <w:r w:rsidR="00B87D91" w:rsidRPr="00D806D9">
        <w:rPr>
          <w:rFonts w:asciiTheme="majorBidi" w:hAnsiTheme="majorBidi" w:cstheme="majorBidi"/>
          <w:sz w:val="24"/>
          <w:szCs w:val="24"/>
          <w:lang w:val="en-US"/>
        </w:rPr>
        <w:t xml:space="preserve">however </w:t>
      </w:r>
      <w:r w:rsidR="0032122B" w:rsidRPr="00D806D9">
        <w:rPr>
          <w:rFonts w:asciiTheme="majorBidi" w:hAnsiTheme="majorBidi" w:cstheme="majorBidi"/>
          <w:sz w:val="24"/>
          <w:szCs w:val="24"/>
          <w:lang w:val="en-US"/>
        </w:rPr>
        <w:t>not mature yet</w:t>
      </w:r>
      <w:r w:rsidR="00B61167" w:rsidRPr="00D806D9">
        <w:rPr>
          <w:rFonts w:asciiTheme="majorBidi" w:hAnsiTheme="majorBidi" w:cstheme="majorBidi"/>
          <w:sz w:val="24"/>
          <w:szCs w:val="24"/>
          <w:lang w:val="en-US"/>
        </w:rPr>
        <w:t xml:space="preserve"> and </w:t>
      </w:r>
      <w:r w:rsidR="00BE76CA">
        <w:rPr>
          <w:rFonts w:asciiTheme="majorBidi" w:hAnsiTheme="majorBidi" w:cstheme="majorBidi"/>
          <w:sz w:val="24"/>
          <w:szCs w:val="24"/>
          <w:lang w:val="en-US"/>
        </w:rPr>
        <w:t xml:space="preserve">are </w:t>
      </w:r>
      <w:r w:rsidR="00B61167" w:rsidRPr="00D806D9">
        <w:rPr>
          <w:rFonts w:asciiTheme="majorBidi" w:hAnsiTheme="majorBidi" w:cstheme="majorBidi"/>
          <w:sz w:val="24"/>
          <w:szCs w:val="24"/>
          <w:lang w:val="en-US"/>
        </w:rPr>
        <w:t>inefficient</w:t>
      </w:r>
      <w:r w:rsidR="0032122B" w:rsidRPr="00D806D9">
        <w:rPr>
          <w:rFonts w:asciiTheme="majorBidi" w:hAnsiTheme="majorBidi" w:cstheme="majorBidi"/>
          <w:sz w:val="24"/>
          <w:szCs w:val="24"/>
          <w:lang w:val="en-US"/>
        </w:rPr>
        <w:t xml:space="preserve">. </w:t>
      </w:r>
      <w:r w:rsidR="00B87D91" w:rsidRPr="00D806D9">
        <w:rPr>
          <w:rFonts w:asciiTheme="majorBidi" w:hAnsiTheme="majorBidi" w:cstheme="majorBidi"/>
          <w:sz w:val="24"/>
          <w:szCs w:val="24"/>
          <w:lang w:val="en-US"/>
        </w:rPr>
        <w:t>Besides,</w:t>
      </w:r>
      <w:r w:rsidR="00796875" w:rsidRPr="00D806D9">
        <w:rPr>
          <w:rFonts w:asciiTheme="majorBidi" w:hAnsiTheme="majorBidi" w:cstheme="majorBidi"/>
          <w:sz w:val="24"/>
          <w:szCs w:val="24"/>
          <w:lang w:val="en-US"/>
        </w:rPr>
        <w:t xml:space="preserve"> </w:t>
      </w:r>
      <w:r w:rsidR="00FD41C8" w:rsidRPr="00D806D9">
        <w:rPr>
          <w:rFonts w:asciiTheme="majorBidi" w:hAnsiTheme="majorBidi" w:cstheme="majorBidi"/>
          <w:sz w:val="24"/>
          <w:szCs w:val="24"/>
          <w:lang w:val="en-US"/>
        </w:rPr>
        <w:t xml:space="preserve">the </w:t>
      </w:r>
      <w:r w:rsidR="0032122B" w:rsidRPr="00D806D9">
        <w:rPr>
          <w:rFonts w:asciiTheme="majorBidi" w:hAnsiTheme="majorBidi" w:cstheme="majorBidi"/>
          <w:sz w:val="24"/>
          <w:szCs w:val="24"/>
          <w:lang w:val="en-US"/>
        </w:rPr>
        <w:t xml:space="preserve">EU-ETS regulatory framework </w:t>
      </w:r>
      <w:r w:rsidR="00FD41C8" w:rsidRPr="00D806D9">
        <w:rPr>
          <w:rFonts w:asciiTheme="majorBidi" w:hAnsiTheme="majorBidi" w:cstheme="majorBidi"/>
          <w:sz w:val="24"/>
          <w:szCs w:val="24"/>
          <w:lang w:val="en-US"/>
        </w:rPr>
        <w:t xml:space="preserve">suffered from </w:t>
      </w:r>
      <w:r w:rsidR="00796875" w:rsidRPr="00D806D9">
        <w:rPr>
          <w:rFonts w:asciiTheme="majorBidi" w:hAnsiTheme="majorBidi" w:cstheme="majorBidi"/>
          <w:sz w:val="24"/>
          <w:szCs w:val="24"/>
          <w:lang w:val="en-US"/>
        </w:rPr>
        <w:t xml:space="preserve">design </w:t>
      </w:r>
      <w:r w:rsidR="00FD41C8" w:rsidRPr="00D806D9">
        <w:rPr>
          <w:rFonts w:asciiTheme="majorBidi" w:hAnsiTheme="majorBidi" w:cstheme="majorBidi"/>
          <w:sz w:val="24"/>
          <w:szCs w:val="24"/>
          <w:lang w:val="en-US"/>
        </w:rPr>
        <w:t xml:space="preserve">deficiencies altering its functioning </w:t>
      </w:r>
      <w:r w:rsidR="00796875" w:rsidRPr="00D806D9">
        <w:rPr>
          <w:rFonts w:asciiTheme="majorBidi" w:hAnsiTheme="majorBidi" w:cstheme="majorBidi"/>
          <w:sz w:val="24"/>
          <w:szCs w:val="24"/>
          <w:lang w:val="en-US"/>
        </w:rPr>
        <w:t xml:space="preserve">over the first decade of its implementation. </w:t>
      </w:r>
      <w:r w:rsidR="00FD41C8" w:rsidRPr="00D806D9">
        <w:rPr>
          <w:rFonts w:asciiTheme="majorBidi" w:hAnsiTheme="majorBidi" w:cstheme="majorBidi"/>
          <w:sz w:val="24"/>
          <w:szCs w:val="24"/>
          <w:lang w:val="en-US"/>
        </w:rPr>
        <w:t>EU-ETS and CCfD would</w:t>
      </w:r>
      <w:r w:rsidR="00796875" w:rsidRPr="00D806D9">
        <w:rPr>
          <w:rFonts w:asciiTheme="majorBidi" w:hAnsiTheme="majorBidi" w:cstheme="majorBidi"/>
          <w:sz w:val="24"/>
          <w:szCs w:val="24"/>
          <w:lang w:val="en-US"/>
        </w:rPr>
        <w:t xml:space="preserve"> interact</w:t>
      </w:r>
      <w:r w:rsidR="00FD41C8" w:rsidRPr="00D806D9">
        <w:rPr>
          <w:rFonts w:asciiTheme="majorBidi" w:hAnsiTheme="majorBidi" w:cstheme="majorBidi"/>
          <w:sz w:val="24"/>
          <w:szCs w:val="24"/>
          <w:lang w:val="en-US"/>
        </w:rPr>
        <w:t>, the latter being based on the carbon price. Du</w:t>
      </w:r>
      <w:r w:rsidR="00796875" w:rsidRPr="00D806D9">
        <w:rPr>
          <w:rFonts w:asciiTheme="majorBidi" w:hAnsiTheme="majorBidi" w:cstheme="majorBidi"/>
          <w:sz w:val="24"/>
          <w:szCs w:val="24"/>
          <w:lang w:val="en-US"/>
        </w:rPr>
        <w:t>e to this</w:t>
      </w:r>
      <w:r w:rsidR="003065DB" w:rsidRPr="00D806D9">
        <w:rPr>
          <w:rFonts w:asciiTheme="majorBidi" w:hAnsiTheme="majorBidi" w:cstheme="majorBidi"/>
          <w:sz w:val="24"/>
          <w:szCs w:val="24"/>
          <w:lang w:val="en-US"/>
        </w:rPr>
        <w:t xml:space="preserve">, </w:t>
      </w:r>
      <w:r w:rsidR="00B7542F" w:rsidRPr="00D806D9">
        <w:rPr>
          <w:rFonts w:asciiTheme="majorBidi" w:hAnsiTheme="majorBidi" w:cstheme="majorBidi"/>
          <w:sz w:val="24"/>
          <w:szCs w:val="24"/>
          <w:lang w:val="en-US"/>
        </w:rPr>
        <w:t>CCfD</w:t>
      </w:r>
      <w:r w:rsidR="00796875" w:rsidRPr="00D806D9">
        <w:rPr>
          <w:rFonts w:asciiTheme="majorBidi" w:hAnsiTheme="majorBidi" w:cstheme="majorBidi"/>
          <w:sz w:val="24"/>
          <w:szCs w:val="24"/>
          <w:lang w:val="en-US"/>
        </w:rPr>
        <w:t xml:space="preserve"> insurance nature</w:t>
      </w:r>
      <w:r w:rsidR="003065DB" w:rsidRPr="00D806D9">
        <w:rPr>
          <w:rFonts w:asciiTheme="majorBidi" w:hAnsiTheme="majorBidi" w:cstheme="majorBidi"/>
          <w:sz w:val="24"/>
          <w:szCs w:val="24"/>
          <w:lang w:val="en-US"/>
        </w:rPr>
        <w:t xml:space="preserve"> and the integration of the geopolitical risk in the EU’s climate policy</w:t>
      </w:r>
      <w:r w:rsidR="00B7542F" w:rsidRPr="00D806D9">
        <w:rPr>
          <w:rFonts w:asciiTheme="majorBidi" w:hAnsiTheme="majorBidi" w:cstheme="majorBidi"/>
          <w:sz w:val="24"/>
          <w:szCs w:val="24"/>
          <w:lang w:val="en-US"/>
        </w:rPr>
        <w:t xml:space="preserve">, </w:t>
      </w:r>
      <w:r w:rsidR="00FD41C8" w:rsidRPr="00D806D9">
        <w:rPr>
          <w:rFonts w:asciiTheme="majorBidi" w:hAnsiTheme="majorBidi" w:cstheme="majorBidi"/>
          <w:sz w:val="24"/>
          <w:szCs w:val="24"/>
          <w:lang w:val="en-US"/>
        </w:rPr>
        <w:t xml:space="preserve">this work identifies </w:t>
      </w:r>
      <w:r w:rsidR="00B7542F" w:rsidRPr="00D806D9">
        <w:rPr>
          <w:rFonts w:asciiTheme="majorBidi" w:hAnsiTheme="majorBidi" w:cstheme="majorBidi"/>
          <w:sz w:val="24"/>
          <w:szCs w:val="24"/>
          <w:lang w:val="en-US"/>
        </w:rPr>
        <w:t>some risks</w:t>
      </w:r>
      <w:r w:rsidR="003065DB" w:rsidRPr="00D806D9">
        <w:rPr>
          <w:rFonts w:asciiTheme="majorBidi" w:hAnsiTheme="majorBidi" w:cstheme="majorBidi"/>
          <w:sz w:val="24"/>
          <w:szCs w:val="24"/>
          <w:lang w:val="en-US"/>
        </w:rPr>
        <w:t xml:space="preserve">. They refer to </w:t>
      </w:r>
      <w:r w:rsidR="00C353A4" w:rsidRPr="00D806D9">
        <w:rPr>
          <w:rFonts w:asciiTheme="majorBidi" w:hAnsiTheme="majorBidi" w:cstheme="majorBidi"/>
          <w:sz w:val="24"/>
          <w:szCs w:val="24"/>
          <w:lang w:val="en-US"/>
        </w:rPr>
        <w:t>both public governance and public budget</w:t>
      </w:r>
      <w:r w:rsidR="00B87D91" w:rsidRPr="00D806D9">
        <w:rPr>
          <w:rFonts w:asciiTheme="majorBidi" w:hAnsiTheme="majorBidi" w:cstheme="majorBidi"/>
          <w:sz w:val="24"/>
          <w:szCs w:val="24"/>
          <w:lang w:val="en-US"/>
        </w:rPr>
        <w:t xml:space="preserve">, notably a potential </w:t>
      </w:r>
      <w:r w:rsidR="00C12A30" w:rsidRPr="00D806D9">
        <w:rPr>
          <w:rFonts w:asciiTheme="majorBidi" w:hAnsiTheme="majorBidi" w:cstheme="majorBidi"/>
          <w:sz w:val="24"/>
          <w:szCs w:val="24"/>
          <w:lang w:val="en-US"/>
        </w:rPr>
        <w:t>“</w:t>
      </w:r>
      <w:r w:rsidR="00B61167" w:rsidRPr="00D806D9">
        <w:rPr>
          <w:rFonts w:asciiTheme="majorBidi" w:eastAsia="Times New Roman" w:hAnsiTheme="majorBidi" w:cstheme="majorBidi"/>
          <w:color w:val="000000"/>
          <w:sz w:val="24"/>
          <w:szCs w:val="24"/>
          <w:lang w:val="en-US" w:eastAsia="fr-FR" w:bidi="he-IL"/>
        </w:rPr>
        <w:t>self-imposed contractual capture</w:t>
      </w:r>
      <w:r w:rsidR="00C12A30" w:rsidRPr="00D806D9">
        <w:rPr>
          <w:rFonts w:asciiTheme="majorBidi" w:hAnsiTheme="majorBidi" w:cstheme="majorBidi"/>
          <w:sz w:val="24"/>
          <w:szCs w:val="24"/>
          <w:lang w:val="en-US"/>
        </w:rPr>
        <w:t>”</w:t>
      </w:r>
      <w:r w:rsidR="00B87D91" w:rsidRPr="00D806D9">
        <w:rPr>
          <w:rFonts w:asciiTheme="majorBidi" w:hAnsiTheme="majorBidi" w:cstheme="majorBidi"/>
          <w:sz w:val="24"/>
          <w:szCs w:val="24"/>
          <w:lang w:val="en-US"/>
        </w:rPr>
        <w:t xml:space="preserve"> </w:t>
      </w:r>
      <w:r w:rsidR="00C12A30" w:rsidRPr="00D806D9">
        <w:rPr>
          <w:rFonts w:asciiTheme="majorBidi" w:hAnsiTheme="majorBidi" w:cstheme="majorBidi"/>
          <w:sz w:val="24"/>
          <w:szCs w:val="24"/>
          <w:lang w:val="en-US"/>
        </w:rPr>
        <w:t xml:space="preserve">that could lead </w:t>
      </w:r>
      <w:r w:rsidR="003065DB" w:rsidRPr="00D806D9">
        <w:rPr>
          <w:rFonts w:asciiTheme="majorBidi" w:hAnsiTheme="majorBidi" w:cstheme="majorBidi"/>
          <w:sz w:val="24"/>
          <w:szCs w:val="24"/>
          <w:lang w:val="en-US"/>
        </w:rPr>
        <w:t xml:space="preserve">to </w:t>
      </w:r>
      <w:r w:rsidR="00C12A30" w:rsidRPr="00D806D9">
        <w:rPr>
          <w:rFonts w:asciiTheme="majorBidi" w:hAnsiTheme="majorBidi" w:cstheme="majorBidi"/>
          <w:sz w:val="24"/>
          <w:szCs w:val="24"/>
          <w:lang w:val="en-US"/>
        </w:rPr>
        <w:t>immobilism</w:t>
      </w:r>
      <w:r w:rsidR="003065DB" w:rsidRPr="00D806D9">
        <w:rPr>
          <w:rFonts w:asciiTheme="majorBidi" w:hAnsiTheme="majorBidi" w:cstheme="majorBidi"/>
          <w:sz w:val="24"/>
          <w:szCs w:val="24"/>
          <w:lang w:val="en-US"/>
        </w:rPr>
        <w:t xml:space="preserve"> in climate policy</w:t>
      </w:r>
      <w:r w:rsidR="00C12A30" w:rsidRPr="00D806D9">
        <w:rPr>
          <w:rFonts w:asciiTheme="majorBidi" w:hAnsiTheme="majorBidi" w:cstheme="majorBidi"/>
          <w:sz w:val="24"/>
          <w:szCs w:val="24"/>
          <w:lang w:val="en-US"/>
        </w:rPr>
        <w:t>.</w:t>
      </w:r>
      <w:r w:rsidR="003065DB" w:rsidRPr="00D806D9">
        <w:rPr>
          <w:rFonts w:asciiTheme="majorBidi" w:hAnsiTheme="majorBidi" w:cstheme="majorBidi"/>
          <w:sz w:val="24"/>
          <w:szCs w:val="24"/>
          <w:lang w:val="en-US"/>
        </w:rPr>
        <w:t xml:space="preserve"> To solve contradictory injunctions of</w:t>
      </w:r>
      <w:r w:rsidR="00C12A30" w:rsidRPr="00D806D9">
        <w:rPr>
          <w:rFonts w:asciiTheme="majorBidi" w:hAnsiTheme="majorBidi" w:cstheme="majorBidi"/>
          <w:sz w:val="24"/>
          <w:szCs w:val="24"/>
          <w:lang w:val="en-US"/>
        </w:rPr>
        <w:t xml:space="preserve"> </w:t>
      </w:r>
      <w:r w:rsidR="003065DB" w:rsidRPr="00D806D9">
        <w:rPr>
          <w:rFonts w:asciiTheme="majorBidi" w:hAnsiTheme="majorBidi" w:cstheme="majorBidi"/>
          <w:sz w:val="24"/>
          <w:szCs w:val="24"/>
          <w:lang w:val="en-US"/>
        </w:rPr>
        <w:t xml:space="preserve">the </w:t>
      </w:r>
      <w:r w:rsidR="00C12A30" w:rsidRPr="00D806D9">
        <w:rPr>
          <w:rFonts w:asciiTheme="majorBidi" w:hAnsiTheme="majorBidi" w:cstheme="majorBidi"/>
          <w:sz w:val="24"/>
          <w:szCs w:val="24"/>
          <w:lang w:val="en-US"/>
        </w:rPr>
        <w:t xml:space="preserve">institutional/instrumental setup </w:t>
      </w:r>
      <w:r w:rsidR="003065DB" w:rsidRPr="00D806D9">
        <w:rPr>
          <w:rFonts w:asciiTheme="majorBidi" w:hAnsiTheme="majorBidi" w:cstheme="majorBidi"/>
          <w:sz w:val="24"/>
          <w:szCs w:val="24"/>
          <w:lang w:val="en-US"/>
        </w:rPr>
        <w:t>on one side and</w:t>
      </w:r>
      <w:r w:rsidR="00C12A30" w:rsidRPr="00D806D9">
        <w:rPr>
          <w:rFonts w:asciiTheme="majorBidi" w:hAnsiTheme="majorBidi" w:cstheme="majorBidi"/>
          <w:sz w:val="24"/>
          <w:szCs w:val="24"/>
          <w:lang w:val="en-US"/>
        </w:rPr>
        <w:t xml:space="preserve"> energy use </w:t>
      </w:r>
      <w:r w:rsidR="003065DB" w:rsidRPr="00D806D9">
        <w:rPr>
          <w:rFonts w:asciiTheme="majorBidi" w:hAnsiTheme="majorBidi" w:cstheme="majorBidi"/>
          <w:sz w:val="24"/>
          <w:szCs w:val="24"/>
          <w:lang w:val="en-US"/>
        </w:rPr>
        <w:t xml:space="preserve">on the other side, </w:t>
      </w:r>
      <w:r w:rsidR="00B61167" w:rsidRPr="00D806D9">
        <w:rPr>
          <w:rFonts w:asciiTheme="majorBidi" w:hAnsiTheme="majorBidi" w:cstheme="majorBidi"/>
          <w:sz w:val="24"/>
          <w:szCs w:val="24"/>
          <w:lang w:val="en-US"/>
        </w:rPr>
        <w:t>strengthening the EU-ETS and developing an energy sufficiency planification</w:t>
      </w:r>
      <w:r w:rsidR="001414D2" w:rsidRPr="00D806D9">
        <w:rPr>
          <w:rFonts w:asciiTheme="majorBidi" w:hAnsiTheme="majorBidi" w:cstheme="majorBidi"/>
          <w:sz w:val="24"/>
          <w:szCs w:val="24"/>
          <w:lang w:val="en-US"/>
        </w:rPr>
        <w:t xml:space="preserve"> are proposed instead of CCfD.</w:t>
      </w:r>
    </w:p>
    <w:p w14:paraId="3277706B" w14:textId="0C029F66" w:rsidR="00F23FA5" w:rsidRPr="00D806D9" w:rsidRDefault="00F23FA5" w:rsidP="00F23FA5">
      <w:pPr>
        <w:spacing w:after="0" w:line="480" w:lineRule="auto"/>
        <w:jc w:val="both"/>
        <w:rPr>
          <w:rFonts w:asciiTheme="majorBidi" w:hAnsiTheme="majorBidi" w:cstheme="majorBidi"/>
          <w:sz w:val="24"/>
          <w:szCs w:val="24"/>
          <w:lang w:val="en-US"/>
        </w:rPr>
      </w:pPr>
    </w:p>
    <w:p w14:paraId="5BE9D71A" w14:textId="7956A4F1" w:rsidR="00DE6586" w:rsidRPr="00D806D9" w:rsidRDefault="00C37CF2" w:rsidP="00F23FA5">
      <w:pPr>
        <w:spacing w:after="0" w:line="480" w:lineRule="auto"/>
        <w:jc w:val="both"/>
        <w:rPr>
          <w:rFonts w:asciiTheme="majorBidi" w:hAnsiTheme="majorBidi" w:cstheme="majorBidi"/>
          <w:sz w:val="24"/>
          <w:szCs w:val="24"/>
          <w:lang w:val="en-US"/>
        </w:rPr>
      </w:pPr>
      <w:r w:rsidRPr="00D806D9">
        <w:rPr>
          <w:rFonts w:asciiTheme="majorBidi" w:hAnsiTheme="majorBidi" w:cstheme="majorBidi"/>
          <w:b/>
          <w:bCs/>
          <w:sz w:val="24"/>
          <w:szCs w:val="24"/>
          <w:lang w:val="en-US"/>
        </w:rPr>
        <w:t>Keywords</w:t>
      </w:r>
      <w:r w:rsidRPr="00D806D9">
        <w:rPr>
          <w:rFonts w:asciiTheme="majorBidi" w:hAnsiTheme="majorBidi" w:cstheme="majorBidi"/>
          <w:sz w:val="24"/>
          <w:szCs w:val="24"/>
          <w:lang w:val="en-US"/>
        </w:rPr>
        <w:t>:</w:t>
      </w:r>
      <w:r w:rsidR="00DE6586" w:rsidRPr="00D806D9">
        <w:rPr>
          <w:rFonts w:asciiTheme="majorBidi" w:hAnsiTheme="majorBidi" w:cstheme="majorBidi"/>
          <w:sz w:val="24"/>
          <w:szCs w:val="24"/>
          <w:lang w:val="en-US"/>
        </w:rPr>
        <w:t xml:space="preserve"> CCfD, Environmental Law, EU ETS, Paris Agreement, Hydrogen</w:t>
      </w:r>
    </w:p>
    <w:p w14:paraId="21C6FBD7" w14:textId="77777777" w:rsidR="00DE6586" w:rsidRPr="00D806D9" w:rsidRDefault="00DE6586" w:rsidP="009B42AC">
      <w:pPr>
        <w:jc w:val="center"/>
        <w:rPr>
          <w:rFonts w:asciiTheme="majorBidi" w:hAnsiTheme="majorBidi" w:cstheme="majorBidi"/>
          <w:b/>
          <w:bCs/>
          <w:sz w:val="36"/>
          <w:szCs w:val="36"/>
          <w:lang w:val="en-US"/>
        </w:rPr>
      </w:pPr>
    </w:p>
    <w:p w14:paraId="59A977BA" w14:textId="77777777" w:rsidR="00DE6586" w:rsidRPr="00D806D9" w:rsidRDefault="00DE6586">
      <w:pPr>
        <w:rPr>
          <w:rFonts w:asciiTheme="majorBidi" w:hAnsiTheme="majorBidi" w:cstheme="majorBidi"/>
          <w:b/>
          <w:bCs/>
          <w:sz w:val="36"/>
          <w:szCs w:val="36"/>
          <w:lang w:val="en-US"/>
        </w:rPr>
      </w:pPr>
      <w:r w:rsidRPr="00D806D9">
        <w:rPr>
          <w:rFonts w:asciiTheme="majorBidi" w:hAnsiTheme="majorBidi" w:cstheme="majorBidi"/>
          <w:b/>
          <w:bCs/>
          <w:sz w:val="36"/>
          <w:szCs w:val="36"/>
          <w:lang w:val="en-US"/>
        </w:rPr>
        <w:br w:type="page"/>
      </w:r>
    </w:p>
    <w:p w14:paraId="6070323C" w14:textId="69B82D29" w:rsidR="009B42AC" w:rsidRPr="00D806D9" w:rsidRDefault="009B42AC" w:rsidP="009B42AC">
      <w:pPr>
        <w:jc w:val="center"/>
        <w:rPr>
          <w:rFonts w:asciiTheme="majorBidi" w:hAnsiTheme="majorBidi" w:cstheme="majorBidi"/>
          <w:b/>
          <w:bCs/>
          <w:sz w:val="36"/>
          <w:szCs w:val="36"/>
          <w:lang w:val="en-US"/>
        </w:rPr>
      </w:pPr>
      <w:r w:rsidRPr="00D806D9">
        <w:rPr>
          <w:rFonts w:asciiTheme="majorBidi" w:hAnsiTheme="majorBidi" w:cstheme="majorBidi"/>
          <w:b/>
          <w:bCs/>
          <w:sz w:val="36"/>
          <w:szCs w:val="36"/>
          <w:lang w:val="en-US"/>
        </w:rPr>
        <w:lastRenderedPageBreak/>
        <w:t>Table of Contents</w:t>
      </w:r>
    </w:p>
    <w:p w14:paraId="398AD5FD" w14:textId="2AADA93F" w:rsidR="00C21317" w:rsidRPr="00D806D9" w:rsidRDefault="00C21317" w:rsidP="0068594C">
      <w:pPr>
        <w:rPr>
          <w:rFonts w:asciiTheme="majorBidi" w:hAnsiTheme="majorBidi" w:cstheme="majorBidi"/>
          <w:sz w:val="24"/>
          <w:szCs w:val="24"/>
          <w:lang w:val="en-US"/>
        </w:rPr>
      </w:pPr>
    </w:p>
    <w:p w14:paraId="6342AB01" w14:textId="77777777" w:rsidR="00771EF4" w:rsidRPr="00D806D9" w:rsidRDefault="00771EF4" w:rsidP="0068594C">
      <w:pPr>
        <w:rPr>
          <w:rFonts w:asciiTheme="majorBidi" w:hAnsiTheme="majorBidi" w:cstheme="majorBidi"/>
          <w:lang w:val="en-US"/>
        </w:rPr>
      </w:pPr>
    </w:p>
    <w:p w14:paraId="0CB2E7CB" w14:textId="3590CB80" w:rsidR="0068594C" w:rsidRPr="00D806D9" w:rsidRDefault="009B42AC" w:rsidP="009B42AC">
      <w:pPr>
        <w:tabs>
          <w:tab w:val="left" w:leader="dot" w:pos="8222"/>
        </w:tabs>
        <w:rPr>
          <w:rFonts w:asciiTheme="majorBidi" w:hAnsiTheme="majorBidi" w:cstheme="majorBidi"/>
          <w:sz w:val="24"/>
          <w:szCs w:val="24"/>
          <w:lang w:val="en-US"/>
        </w:rPr>
      </w:pPr>
      <w:r w:rsidRPr="00D806D9">
        <w:rPr>
          <w:rFonts w:asciiTheme="majorBidi" w:hAnsiTheme="majorBidi" w:cstheme="majorBidi"/>
          <w:sz w:val="24"/>
          <w:szCs w:val="24"/>
          <w:lang w:val="en-US"/>
        </w:rPr>
        <w:t>A</w:t>
      </w:r>
      <w:r w:rsidR="0068594C" w:rsidRPr="00D806D9">
        <w:rPr>
          <w:rFonts w:asciiTheme="majorBidi" w:hAnsiTheme="majorBidi" w:cstheme="majorBidi"/>
          <w:sz w:val="24"/>
          <w:szCs w:val="24"/>
          <w:lang w:val="en-US"/>
        </w:rPr>
        <w:t>cronyms</w:t>
      </w:r>
      <w:r w:rsidRPr="00D806D9">
        <w:rPr>
          <w:rFonts w:asciiTheme="majorBidi" w:hAnsiTheme="majorBidi" w:cstheme="majorBidi"/>
          <w:sz w:val="24"/>
          <w:szCs w:val="24"/>
          <w:lang w:val="en-US"/>
        </w:rPr>
        <w:t xml:space="preserve"> list</w:t>
      </w:r>
      <w:r w:rsidRPr="00D806D9">
        <w:rPr>
          <w:rFonts w:asciiTheme="majorBidi" w:hAnsiTheme="majorBidi" w:cstheme="majorBidi"/>
          <w:sz w:val="24"/>
          <w:szCs w:val="24"/>
          <w:lang w:val="en-US"/>
        </w:rPr>
        <w:tab/>
      </w:r>
      <w:r w:rsidR="00367111" w:rsidRPr="00D806D9">
        <w:rPr>
          <w:rFonts w:asciiTheme="majorBidi" w:hAnsiTheme="majorBidi" w:cstheme="majorBidi"/>
          <w:sz w:val="24"/>
          <w:szCs w:val="24"/>
          <w:lang w:val="en-US"/>
        </w:rPr>
        <w:t>6</w:t>
      </w:r>
    </w:p>
    <w:p w14:paraId="49475CC1" w14:textId="1FB7AF13" w:rsidR="0068594C" w:rsidRPr="00D806D9" w:rsidRDefault="009B42AC" w:rsidP="009B42AC">
      <w:pPr>
        <w:tabs>
          <w:tab w:val="left" w:leader="dot" w:pos="8222"/>
          <w:tab w:val="left" w:leader="dot" w:pos="8505"/>
        </w:tabs>
        <w:rPr>
          <w:rFonts w:asciiTheme="majorBidi" w:hAnsiTheme="majorBidi" w:cstheme="majorBidi"/>
          <w:color w:val="FF0000"/>
          <w:sz w:val="24"/>
          <w:szCs w:val="24"/>
          <w:lang w:val="en-US"/>
        </w:rPr>
      </w:pPr>
      <w:r w:rsidRPr="00D806D9">
        <w:rPr>
          <w:rFonts w:asciiTheme="majorBidi" w:hAnsiTheme="majorBidi" w:cstheme="majorBidi"/>
          <w:sz w:val="24"/>
          <w:szCs w:val="24"/>
          <w:lang w:val="en-US"/>
        </w:rPr>
        <w:t xml:space="preserve">List of figures, </w:t>
      </w:r>
      <w:r w:rsidR="001D7188" w:rsidRPr="00D806D9">
        <w:rPr>
          <w:rFonts w:asciiTheme="majorBidi" w:hAnsiTheme="majorBidi" w:cstheme="majorBidi"/>
          <w:sz w:val="24"/>
          <w:szCs w:val="24"/>
          <w:lang w:val="en-US"/>
        </w:rPr>
        <w:t>tables,</w:t>
      </w:r>
      <w:r w:rsidRPr="00D806D9">
        <w:rPr>
          <w:rFonts w:asciiTheme="majorBidi" w:hAnsiTheme="majorBidi" w:cstheme="majorBidi"/>
          <w:sz w:val="24"/>
          <w:szCs w:val="24"/>
          <w:lang w:val="en-US"/>
        </w:rPr>
        <w:t xml:space="preserve"> and boxes</w:t>
      </w:r>
      <w:r w:rsidR="0068594C" w:rsidRPr="00D806D9">
        <w:rPr>
          <w:rFonts w:asciiTheme="majorBidi" w:hAnsiTheme="majorBidi" w:cstheme="majorBidi"/>
          <w:sz w:val="24"/>
          <w:szCs w:val="24"/>
          <w:lang w:val="en-US"/>
        </w:rPr>
        <w:tab/>
      </w:r>
      <w:r w:rsidR="00367111" w:rsidRPr="00D806D9">
        <w:rPr>
          <w:rFonts w:asciiTheme="majorBidi" w:hAnsiTheme="majorBidi" w:cstheme="majorBidi"/>
          <w:sz w:val="24"/>
          <w:szCs w:val="24"/>
          <w:lang w:val="en-US"/>
        </w:rPr>
        <w:t>8</w:t>
      </w:r>
    </w:p>
    <w:p w14:paraId="51BE3433" w14:textId="54A3CA83" w:rsidR="0068594C" w:rsidRPr="00D806D9" w:rsidRDefault="0068594C" w:rsidP="009B42AC">
      <w:pPr>
        <w:tabs>
          <w:tab w:val="left" w:leader="dot" w:pos="8222"/>
          <w:tab w:val="left" w:leader="dot" w:pos="8505"/>
        </w:tabs>
        <w:rPr>
          <w:rFonts w:asciiTheme="majorBidi" w:hAnsiTheme="majorBidi" w:cstheme="majorBidi"/>
          <w:sz w:val="24"/>
          <w:szCs w:val="24"/>
          <w:lang w:val="en-US"/>
        </w:rPr>
      </w:pPr>
      <w:r w:rsidRPr="00D806D9">
        <w:rPr>
          <w:rFonts w:asciiTheme="majorBidi" w:hAnsiTheme="majorBidi" w:cstheme="majorBidi"/>
          <w:sz w:val="24"/>
          <w:szCs w:val="24"/>
          <w:lang w:val="en-US"/>
        </w:rPr>
        <w:t>Introduction</w:t>
      </w:r>
      <w:r w:rsidRPr="00D806D9">
        <w:rPr>
          <w:rFonts w:asciiTheme="majorBidi" w:hAnsiTheme="majorBidi" w:cstheme="majorBidi"/>
          <w:sz w:val="24"/>
          <w:szCs w:val="24"/>
          <w:lang w:val="en-US"/>
        </w:rPr>
        <w:tab/>
      </w:r>
      <w:r w:rsidR="00367111" w:rsidRPr="00D806D9">
        <w:rPr>
          <w:rFonts w:asciiTheme="majorBidi" w:hAnsiTheme="majorBidi" w:cstheme="majorBidi"/>
          <w:sz w:val="24"/>
          <w:szCs w:val="24"/>
          <w:lang w:val="en-US"/>
        </w:rPr>
        <w:t>9</w:t>
      </w:r>
    </w:p>
    <w:p w14:paraId="3A4ED120" w14:textId="77777777" w:rsidR="0003516E" w:rsidRPr="00D806D9" w:rsidRDefault="0003516E" w:rsidP="009B42AC">
      <w:pPr>
        <w:tabs>
          <w:tab w:val="left" w:leader="dot" w:pos="8222"/>
          <w:tab w:val="left" w:leader="dot" w:pos="8505"/>
        </w:tabs>
        <w:rPr>
          <w:rFonts w:asciiTheme="majorBidi" w:hAnsiTheme="majorBidi" w:cstheme="majorBidi"/>
          <w:sz w:val="24"/>
          <w:szCs w:val="24"/>
          <w:lang w:val="en-US"/>
        </w:rPr>
      </w:pPr>
    </w:p>
    <w:p w14:paraId="6457522C" w14:textId="5E2F9EE8" w:rsidR="0068594C" w:rsidRPr="00D806D9" w:rsidRDefault="00F42D91" w:rsidP="008651D6">
      <w:pPr>
        <w:tabs>
          <w:tab w:val="left" w:leader="dot" w:pos="8222"/>
          <w:tab w:val="left" w:leader="dot" w:pos="8505"/>
        </w:tabs>
        <w:rPr>
          <w:rFonts w:asciiTheme="majorBidi" w:hAnsiTheme="majorBidi" w:cstheme="majorBidi"/>
          <w:sz w:val="24"/>
          <w:szCs w:val="24"/>
          <w:lang w:val="en-US"/>
        </w:rPr>
      </w:pPr>
      <w:r w:rsidRPr="00D806D9">
        <w:rPr>
          <w:rFonts w:asciiTheme="majorBidi" w:hAnsiTheme="majorBidi" w:cstheme="majorBidi"/>
          <w:sz w:val="24"/>
          <w:szCs w:val="24"/>
          <w:lang w:val="en-US"/>
        </w:rPr>
        <w:t>Section</w:t>
      </w:r>
      <w:r w:rsidR="0068594C" w:rsidRPr="00D806D9">
        <w:rPr>
          <w:rFonts w:asciiTheme="majorBidi" w:hAnsiTheme="majorBidi" w:cstheme="majorBidi"/>
          <w:sz w:val="24"/>
          <w:szCs w:val="24"/>
          <w:lang w:val="en-US"/>
        </w:rPr>
        <w:t xml:space="preserve"> </w:t>
      </w:r>
      <w:r w:rsidR="00B20DBD" w:rsidRPr="00D806D9">
        <w:rPr>
          <w:rFonts w:asciiTheme="majorBidi" w:hAnsiTheme="majorBidi" w:cstheme="majorBidi"/>
          <w:sz w:val="24"/>
          <w:szCs w:val="24"/>
          <w:lang w:val="en-US"/>
        </w:rPr>
        <w:t>1</w:t>
      </w:r>
      <w:r w:rsidR="001D7188" w:rsidRPr="00D806D9">
        <w:rPr>
          <w:rFonts w:asciiTheme="majorBidi" w:hAnsiTheme="majorBidi" w:cstheme="majorBidi"/>
          <w:sz w:val="24"/>
          <w:szCs w:val="24"/>
          <w:lang w:val="en-US"/>
        </w:rPr>
        <w:t>:</w:t>
      </w:r>
      <w:r w:rsidR="0068594C" w:rsidRPr="00D806D9">
        <w:rPr>
          <w:rFonts w:asciiTheme="majorBidi" w:hAnsiTheme="majorBidi" w:cstheme="majorBidi"/>
          <w:sz w:val="24"/>
          <w:szCs w:val="24"/>
          <w:lang w:val="en-US"/>
        </w:rPr>
        <w:t xml:space="preserve"> </w:t>
      </w:r>
      <w:r w:rsidR="00E113BB" w:rsidRPr="00D806D9">
        <w:rPr>
          <w:rFonts w:asciiTheme="majorBidi" w:hAnsiTheme="majorBidi" w:cstheme="majorBidi"/>
          <w:sz w:val="24"/>
          <w:szCs w:val="24"/>
          <w:lang w:val="en-US"/>
        </w:rPr>
        <w:t>Theoretical framework</w:t>
      </w:r>
      <w:r w:rsidR="0068594C" w:rsidRPr="00D806D9">
        <w:rPr>
          <w:rFonts w:asciiTheme="majorBidi" w:hAnsiTheme="majorBidi" w:cstheme="majorBidi"/>
          <w:sz w:val="24"/>
          <w:szCs w:val="24"/>
          <w:lang w:val="en-US"/>
        </w:rPr>
        <w:tab/>
      </w:r>
      <w:r w:rsidR="00E113BB" w:rsidRPr="00D806D9">
        <w:rPr>
          <w:rFonts w:asciiTheme="majorBidi" w:hAnsiTheme="majorBidi" w:cstheme="majorBidi"/>
          <w:sz w:val="24"/>
          <w:szCs w:val="24"/>
          <w:lang w:val="en-US"/>
        </w:rPr>
        <w:t>1</w:t>
      </w:r>
      <w:r w:rsidR="00367111" w:rsidRPr="00D806D9">
        <w:rPr>
          <w:rFonts w:asciiTheme="majorBidi" w:hAnsiTheme="majorBidi" w:cstheme="majorBidi"/>
          <w:sz w:val="24"/>
          <w:szCs w:val="24"/>
          <w:lang w:val="en-US"/>
        </w:rPr>
        <w:t>2</w:t>
      </w:r>
    </w:p>
    <w:p w14:paraId="616EAC83" w14:textId="0ED171C6" w:rsidR="00BC2AB1" w:rsidRPr="00D806D9" w:rsidRDefault="00BC2AB1" w:rsidP="00BC2AB1">
      <w:pPr>
        <w:tabs>
          <w:tab w:val="left" w:leader="dot" w:pos="8222"/>
          <w:tab w:val="left" w:leader="dot" w:pos="8505"/>
        </w:tabs>
        <w:ind w:firstLine="567"/>
        <w:rPr>
          <w:rFonts w:asciiTheme="majorBidi" w:hAnsiTheme="majorBidi" w:cstheme="majorBidi"/>
          <w:sz w:val="24"/>
          <w:szCs w:val="24"/>
          <w:lang w:val="en-US"/>
        </w:rPr>
      </w:pPr>
      <w:r w:rsidRPr="00D806D9">
        <w:rPr>
          <w:rFonts w:asciiTheme="majorBidi" w:hAnsiTheme="majorBidi" w:cstheme="majorBidi"/>
          <w:sz w:val="24"/>
          <w:szCs w:val="24"/>
          <w:lang w:val="en-US"/>
        </w:rPr>
        <w:t>1.1. The microeconomics grounds of ETS</w:t>
      </w:r>
      <w:r w:rsidRPr="00D806D9">
        <w:rPr>
          <w:rFonts w:asciiTheme="majorBidi" w:hAnsiTheme="majorBidi" w:cstheme="majorBidi"/>
          <w:sz w:val="24"/>
          <w:szCs w:val="24"/>
          <w:lang w:val="en-US"/>
        </w:rPr>
        <w:tab/>
        <w:t>1</w:t>
      </w:r>
      <w:r w:rsidR="00367111" w:rsidRPr="00D806D9">
        <w:rPr>
          <w:rFonts w:asciiTheme="majorBidi" w:hAnsiTheme="majorBidi" w:cstheme="majorBidi"/>
          <w:sz w:val="24"/>
          <w:szCs w:val="24"/>
          <w:lang w:val="en-US"/>
        </w:rPr>
        <w:t>2</w:t>
      </w:r>
    </w:p>
    <w:p w14:paraId="3783B214" w14:textId="586501D4" w:rsidR="00BC2AB1" w:rsidRPr="00D806D9" w:rsidRDefault="00BC2AB1" w:rsidP="00BC2AB1">
      <w:pPr>
        <w:tabs>
          <w:tab w:val="left" w:leader="dot" w:pos="8222"/>
          <w:tab w:val="left" w:leader="dot" w:pos="8505"/>
        </w:tabs>
        <w:ind w:firstLine="567"/>
        <w:rPr>
          <w:rFonts w:asciiTheme="majorBidi" w:hAnsiTheme="majorBidi" w:cstheme="majorBidi"/>
          <w:sz w:val="24"/>
          <w:szCs w:val="24"/>
          <w:lang w:val="en-US"/>
        </w:rPr>
      </w:pPr>
      <w:r w:rsidRPr="00D806D9">
        <w:rPr>
          <w:rFonts w:asciiTheme="majorBidi" w:hAnsiTheme="majorBidi" w:cstheme="majorBidi"/>
          <w:sz w:val="24"/>
          <w:szCs w:val="24"/>
          <w:lang w:val="en-US"/>
        </w:rPr>
        <w:t>1.2. Economic theories of regulation and the private interest theory</w:t>
      </w:r>
      <w:r w:rsidRPr="00D806D9">
        <w:rPr>
          <w:rFonts w:asciiTheme="majorBidi" w:hAnsiTheme="majorBidi" w:cstheme="majorBidi"/>
          <w:sz w:val="24"/>
          <w:szCs w:val="24"/>
          <w:lang w:val="en-US"/>
        </w:rPr>
        <w:tab/>
        <w:t>1</w:t>
      </w:r>
      <w:r w:rsidR="00367111" w:rsidRPr="00D806D9">
        <w:rPr>
          <w:rFonts w:asciiTheme="majorBidi" w:hAnsiTheme="majorBidi" w:cstheme="majorBidi"/>
          <w:sz w:val="24"/>
          <w:szCs w:val="24"/>
          <w:lang w:val="en-US"/>
        </w:rPr>
        <w:t>5</w:t>
      </w:r>
    </w:p>
    <w:p w14:paraId="77628352" w14:textId="77777777" w:rsidR="0003516E" w:rsidRPr="00D806D9" w:rsidRDefault="0003516E" w:rsidP="00BC2AB1">
      <w:pPr>
        <w:tabs>
          <w:tab w:val="left" w:leader="dot" w:pos="8222"/>
          <w:tab w:val="left" w:leader="dot" w:pos="8505"/>
        </w:tabs>
        <w:ind w:firstLine="567"/>
        <w:rPr>
          <w:rFonts w:asciiTheme="majorBidi" w:hAnsiTheme="majorBidi" w:cstheme="majorBidi"/>
          <w:sz w:val="24"/>
          <w:szCs w:val="24"/>
          <w:lang w:val="en-US"/>
        </w:rPr>
      </w:pPr>
    </w:p>
    <w:p w14:paraId="1B2CABD7" w14:textId="77777777" w:rsidR="00D929E6" w:rsidRPr="00D806D9" w:rsidRDefault="00F42D91" w:rsidP="00D929E6">
      <w:pPr>
        <w:tabs>
          <w:tab w:val="left" w:leader="dot" w:pos="8222"/>
          <w:tab w:val="left" w:leader="dot" w:pos="8505"/>
        </w:tabs>
        <w:ind w:left="708" w:hanging="708"/>
        <w:rPr>
          <w:rFonts w:asciiTheme="majorBidi" w:hAnsiTheme="majorBidi" w:cstheme="majorBidi"/>
          <w:sz w:val="24"/>
          <w:szCs w:val="24"/>
          <w:lang w:val="en-US"/>
        </w:rPr>
      </w:pPr>
      <w:r w:rsidRPr="00D806D9">
        <w:rPr>
          <w:rFonts w:asciiTheme="majorBidi" w:hAnsiTheme="majorBidi" w:cstheme="majorBidi"/>
          <w:sz w:val="24"/>
          <w:szCs w:val="24"/>
          <w:lang w:val="en-US"/>
        </w:rPr>
        <w:t xml:space="preserve">Section </w:t>
      </w:r>
      <w:r w:rsidR="00B20DBD" w:rsidRPr="00D806D9">
        <w:rPr>
          <w:rFonts w:asciiTheme="majorBidi" w:hAnsiTheme="majorBidi" w:cstheme="majorBidi"/>
          <w:sz w:val="24"/>
          <w:szCs w:val="24"/>
          <w:lang w:val="en-US"/>
        </w:rPr>
        <w:t>2</w:t>
      </w:r>
      <w:r w:rsidR="001D7188" w:rsidRPr="00D806D9">
        <w:rPr>
          <w:rFonts w:asciiTheme="majorBidi" w:hAnsiTheme="majorBidi" w:cstheme="majorBidi"/>
          <w:sz w:val="24"/>
          <w:szCs w:val="24"/>
          <w:lang w:val="en-US"/>
        </w:rPr>
        <w:t>:</w:t>
      </w:r>
      <w:r w:rsidR="0068594C" w:rsidRPr="00D806D9">
        <w:rPr>
          <w:rFonts w:asciiTheme="majorBidi" w:hAnsiTheme="majorBidi" w:cstheme="majorBidi"/>
          <w:sz w:val="24"/>
          <w:szCs w:val="24"/>
          <w:lang w:val="en-US"/>
        </w:rPr>
        <w:t xml:space="preserve"> </w:t>
      </w:r>
      <w:r w:rsidR="00D929E6" w:rsidRPr="00D806D9">
        <w:rPr>
          <w:rFonts w:asciiTheme="majorBidi" w:hAnsiTheme="majorBidi" w:cstheme="majorBidi"/>
          <w:sz w:val="24"/>
          <w:szCs w:val="24"/>
          <w:lang w:val="en-US"/>
        </w:rPr>
        <w:t>A source of important GHGE facing technological and economic</w:t>
      </w:r>
    </w:p>
    <w:p w14:paraId="1AF33B17" w14:textId="52380E5A" w:rsidR="0068594C" w:rsidRPr="00D806D9" w:rsidRDefault="00D929E6" w:rsidP="00D929E6">
      <w:pPr>
        <w:tabs>
          <w:tab w:val="left" w:leader="dot" w:pos="8222"/>
          <w:tab w:val="left" w:leader="dot" w:pos="8505"/>
        </w:tabs>
        <w:ind w:left="993" w:hanging="993"/>
        <w:rPr>
          <w:rFonts w:asciiTheme="majorBidi" w:hAnsiTheme="majorBidi" w:cstheme="majorBidi"/>
          <w:sz w:val="24"/>
          <w:szCs w:val="24"/>
          <w:lang w:val="en-US"/>
        </w:rPr>
      </w:pPr>
      <w:r w:rsidRPr="00D806D9">
        <w:rPr>
          <w:rFonts w:asciiTheme="majorBidi" w:hAnsiTheme="majorBidi" w:cstheme="majorBidi"/>
          <w:sz w:val="24"/>
          <w:szCs w:val="24"/>
          <w:lang w:val="en-US"/>
        </w:rPr>
        <w:tab/>
        <w:t>uncertainties regarding its decarbonization potential</w:t>
      </w:r>
      <w:r w:rsidR="0068594C"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1</w:t>
      </w:r>
      <w:r w:rsidR="00367111" w:rsidRPr="00D806D9">
        <w:rPr>
          <w:rFonts w:asciiTheme="majorBidi" w:hAnsiTheme="majorBidi" w:cstheme="majorBidi"/>
          <w:sz w:val="24"/>
          <w:szCs w:val="24"/>
          <w:lang w:val="en-US"/>
        </w:rPr>
        <w:t>7</w:t>
      </w:r>
    </w:p>
    <w:p w14:paraId="2B1EE49B" w14:textId="351C54BC" w:rsidR="00BC2AB1" w:rsidRPr="00D806D9" w:rsidRDefault="00BC2AB1" w:rsidP="00BC2AB1">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 xml:space="preserve">2.1. Current and </w:t>
      </w:r>
      <w:r w:rsidR="00FD6132">
        <w:rPr>
          <w:rFonts w:asciiTheme="majorBidi" w:hAnsiTheme="majorBidi" w:cstheme="majorBidi"/>
          <w:sz w:val="24"/>
          <w:szCs w:val="24"/>
          <w:lang w:val="en-US"/>
        </w:rPr>
        <w:t>expected</w:t>
      </w:r>
      <w:r w:rsidRPr="00D806D9">
        <w:rPr>
          <w:rFonts w:asciiTheme="majorBidi" w:hAnsiTheme="majorBidi" w:cstheme="majorBidi"/>
          <w:sz w:val="24"/>
          <w:szCs w:val="24"/>
          <w:lang w:val="en-US"/>
        </w:rPr>
        <w:t xml:space="preserve"> hydrogen production methods</w:t>
      </w:r>
      <w:r w:rsidRPr="00D806D9">
        <w:rPr>
          <w:rFonts w:asciiTheme="majorBidi" w:hAnsiTheme="majorBidi" w:cstheme="majorBidi"/>
          <w:sz w:val="24"/>
          <w:szCs w:val="24"/>
          <w:lang w:val="en-US"/>
        </w:rPr>
        <w:tab/>
        <w:t>1</w:t>
      </w:r>
      <w:r w:rsidR="00367111" w:rsidRPr="00D806D9">
        <w:rPr>
          <w:rFonts w:asciiTheme="majorBidi" w:hAnsiTheme="majorBidi" w:cstheme="majorBidi"/>
          <w:sz w:val="24"/>
          <w:szCs w:val="24"/>
          <w:lang w:val="en-US"/>
        </w:rPr>
        <w:t>7</w:t>
      </w:r>
    </w:p>
    <w:p w14:paraId="1F1BCA83" w14:textId="1E21DF2C" w:rsidR="00BC2AB1" w:rsidRPr="00D806D9" w:rsidRDefault="00BC2AB1" w:rsidP="00BC2AB1">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 xml:space="preserve">2.2. Current and </w:t>
      </w:r>
      <w:r w:rsidR="00FD6132">
        <w:rPr>
          <w:rFonts w:asciiTheme="majorBidi" w:hAnsiTheme="majorBidi" w:cstheme="majorBidi"/>
          <w:sz w:val="24"/>
          <w:szCs w:val="24"/>
          <w:lang w:val="en-US"/>
        </w:rPr>
        <w:t>expected</w:t>
      </w:r>
      <w:r w:rsidR="00FD6132"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hydrogen us</w:t>
      </w:r>
      <w:r w:rsidR="00FD6132">
        <w:rPr>
          <w:rFonts w:asciiTheme="majorBidi" w:hAnsiTheme="majorBidi" w:cstheme="majorBidi"/>
          <w:sz w:val="24"/>
          <w:szCs w:val="24"/>
          <w:lang w:val="en-US"/>
        </w:rPr>
        <w:t>ages</w:t>
      </w:r>
      <w:r w:rsidRPr="00D806D9">
        <w:rPr>
          <w:rFonts w:asciiTheme="majorBidi" w:hAnsiTheme="majorBidi" w:cstheme="majorBidi"/>
          <w:sz w:val="24"/>
          <w:szCs w:val="24"/>
          <w:lang w:val="en-US"/>
        </w:rPr>
        <w:tab/>
        <w:t>1</w:t>
      </w:r>
      <w:r w:rsidR="00367111" w:rsidRPr="00D806D9">
        <w:rPr>
          <w:rFonts w:asciiTheme="majorBidi" w:hAnsiTheme="majorBidi" w:cstheme="majorBidi"/>
          <w:sz w:val="24"/>
          <w:szCs w:val="24"/>
          <w:lang w:val="en-US"/>
        </w:rPr>
        <w:t>9</w:t>
      </w:r>
    </w:p>
    <w:p w14:paraId="234ADAFA" w14:textId="47E027FB" w:rsidR="00060035" w:rsidRPr="00D806D9" w:rsidRDefault="00060035" w:rsidP="00BC2AB1">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2.3 LCH technologies are environmentally and economically inefficient</w:t>
      </w:r>
      <w:r w:rsidRPr="00D806D9">
        <w:rPr>
          <w:rFonts w:asciiTheme="majorBidi" w:hAnsiTheme="majorBidi" w:cstheme="majorBidi"/>
          <w:sz w:val="24"/>
          <w:szCs w:val="24"/>
          <w:lang w:val="en-US"/>
        </w:rPr>
        <w:tab/>
        <w:t>2</w:t>
      </w:r>
      <w:r w:rsidR="00C4399A">
        <w:rPr>
          <w:rFonts w:asciiTheme="majorBidi" w:hAnsiTheme="majorBidi" w:cstheme="majorBidi"/>
          <w:sz w:val="24"/>
          <w:szCs w:val="24"/>
          <w:lang w:val="en-US"/>
        </w:rPr>
        <w:t>1</w:t>
      </w:r>
    </w:p>
    <w:p w14:paraId="669ED529" w14:textId="77777777" w:rsidR="0003516E" w:rsidRPr="00D806D9" w:rsidRDefault="0003516E" w:rsidP="00BC2AB1">
      <w:pPr>
        <w:tabs>
          <w:tab w:val="left" w:leader="dot" w:pos="8222"/>
          <w:tab w:val="left" w:leader="dot" w:pos="8505"/>
        </w:tabs>
        <w:ind w:left="993" w:hanging="426"/>
        <w:rPr>
          <w:rFonts w:asciiTheme="majorBidi" w:hAnsiTheme="majorBidi" w:cstheme="majorBidi"/>
          <w:sz w:val="24"/>
          <w:szCs w:val="24"/>
          <w:lang w:val="en-US"/>
        </w:rPr>
      </w:pPr>
    </w:p>
    <w:p w14:paraId="044B324C" w14:textId="7A4CFA6D" w:rsidR="00307B38" w:rsidRPr="00D806D9" w:rsidRDefault="00F42D91" w:rsidP="00C961A2">
      <w:pPr>
        <w:tabs>
          <w:tab w:val="left" w:leader="dot" w:pos="8222"/>
          <w:tab w:val="left" w:leader="dot" w:pos="8505"/>
        </w:tabs>
        <w:ind w:left="708" w:hanging="708"/>
        <w:rPr>
          <w:rFonts w:asciiTheme="majorBidi" w:hAnsiTheme="majorBidi" w:cstheme="majorBidi"/>
          <w:sz w:val="24"/>
          <w:szCs w:val="24"/>
          <w:lang w:val="en-US"/>
        </w:rPr>
      </w:pPr>
      <w:r w:rsidRPr="00D806D9">
        <w:rPr>
          <w:rFonts w:asciiTheme="majorBidi" w:hAnsiTheme="majorBidi" w:cstheme="majorBidi"/>
          <w:sz w:val="24"/>
          <w:szCs w:val="24"/>
          <w:lang w:val="en-US"/>
        </w:rPr>
        <w:t xml:space="preserve">Section </w:t>
      </w:r>
      <w:r w:rsidR="00B20DBD" w:rsidRPr="00D806D9">
        <w:rPr>
          <w:rFonts w:asciiTheme="majorBidi" w:hAnsiTheme="majorBidi" w:cstheme="majorBidi"/>
          <w:sz w:val="24"/>
          <w:szCs w:val="24"/>
          <w:lang w:val="en-US"/>
        </w:rPr>
        <w:t>3</w:t>
      </w:r>
      <w:r w:rsidR="001D7188" w:rsidRPr="00D806D9">
        <w:rPr>
          <w:rFonts w:asciiTheme="majorBidi" w:hAnsiTheme="majorBidi" w:cstheme="majorBidi"/>
          <w:sz w:val="24"/>
          <w:szCs w:val="24"/>
          <w:lang w:val="en-US"/>
        </w:rPr>
        <w:t>:</w:t>
      </w:r>
      <w:r w:rsidR="008651D6" w:rsidRPr="00D806D9">
        <w:rPr>
          <w:rFonts w:asciiTheme="majorBidi" w:hAnsiTheme="majorBidi" w:cstheme="majorBidi"/>
          <w:sz w:val="24"/>
          <w:szCs w:val="24"/>
          <w:lang w:val="en-US"/>
        </w:rPr>
        <w:t xml:space="preserve"> </w:t>
      </w:r>
      <w:r w:rsidR="00C961A2" w:rsidRPr="00D806D9">
        <w:rPr>
          <w:rFonts w:asciiTheme="majorBidi" w:hAnsiTheme="majorBidi" w:cstheme="majorBidi"/>
          <w:sz w:val="24"/>
          <w:szCs w:val="24"/>
          <w:lang w:val="en-US"/>
        </w:rPr>
        <w:t>EU-ETS</w:t>
      </w:r>
      <w:r w:rsidR="00367F6B" w:rsidRPr="00D806D9">
        <w:rPr>
          <w:rFonts w:asciiTheme="majorBidi" w:hAnsiTheme="majorBidi" w:cstheme="majorBidi"/>
          <w:sz w:val="24"/>
          <w:szCs w:val="24"/>
          <w:lang w:val="en-US"/>
        </w:rPr>
        <w:t>,</w:t>
      </w:r>
      <w:r w:rsidR="00C961A2" w:rsidRPr="00D806D9">
        <w:rPr>
          <w:rFonts w:asciiTheme="majorBidi" w:hAnsiTheme="majorBidi" w:cstheme="majorBidi"/>
          <w:sz w:val="24"/>
          <w:szCs w:val="24"/>
          <w:lang w:val="en-US"/>
        </w:rPr>
        <w:t xml:space="preserve"> a regulation under</w:t>
      </w:r>
      <w:r w:rsidR="00FD6132">
        <w:rPr>
          <w:rFonts w:asciiTheme="majorBidi" w:hAnsiTheme="majorBidi" w:cstheme="majorBidi"/>
          <w:sz w:val="24"/>
          <w:szCs w:val="24"/>
          <w:lang w:val="en-US"/>
        </w:rPr>
        <w:t xml:space="preserve"> the</w:t>
      </w:r>
      <w:r w:rsidR="00C961A2" w:rsidRPr="00D806D9">
        <w:rPr>
          <w:rFonts w:asciiTheme="majorBidi" w:hAnsiTheme="majorBidi" w:cstheme="majorBidi"/>
          <w:sz w:val="24"/>
          <w:szCs w:val="24"/>
          <w:lang w:val="en-US"/>
        </w:rPr>
        <w:t xml:space="preserve"> influence which </w:t>
      </w:r>
      <w:r w:rsidR="00C8102F">
        <w:rPr>
          <w:rFonts w:asciiTheme="majorBidi" w:hAnsiTheme="majorBidi" w:cstheme="majorBidi"/>
          <w:sz w:val="24"/>
          <w:szCs w:val="24"/>
          <w:lang w:val="en-US"/>
        </w:rPr>
        <w:t>began</w:t>
      </w:r>
      <w:r w:rsidR="00C961A2" w:rsidRPr="00D806D9">
        <w:rPr>
          <w:rFonts w:asciiTheme="majorBidi" w:hAnsiTheme="majorBidi" w:cstheme="majorBidi"/>
          <w:sz w:val="24"/>
          <w:szCs w:val="24"/>
          <w:lang w:val="en-US"/>
        </w:rPr>
        <w:t xml:space="preserve"> to operate properly</w:t>
      </w:r>
    </w:p>
    <w:p w14:paraId="1E796F6C" w14:textId="190B0C9E" w:rsidR="008651D6" w:rsidRPr="00D806D9" w:rsidRDefault="00307B38" w:rsidP="00307B38">
      <w:pPr>
        <w:tabs>
          <w:tab w:val="left" w:leader="dot" w:pos="8222"/>
          <w:tab w:val="left" w:leader="dot" w:pos="8505"/>
        </w:tabs>
        <w:ind w:left="993" w:hanging="708"/>
        <w:rPr>
          <w:rFonts w:asciiTheme="majorBidi" w:hAnsiTheme="majorBidi" w:cstheme="majorBidi"/>
          <w:sz w:val="24"/>
          <w:szCs w:val="24"/>
          <w:lang w:val="en-US"/>
        </w:rPr>
      </w:pPr>
      <w:r w:rsidRPr="00D806D9">
        <w:rPr>
          <w:rFonts w:asciiTheme="majorBidi" w:hAnsiTheme="majorBidi" w:cstheme="majorBidi"/>
          <w:sz w:val="24"/>
          <w:szCs w:val="24"/>
          <w:lang w:val="en-US"/>
        </w:rPr>
        <w:tab/>
      </w:r>
      <w:r w:rsidR="00C961A2" w:rsidRPr="00D806D9">
        <w:rPr>
          <w:rFonts w:asciiTheme="majorBidi" w:hAnsiTheme="majorBidi" w:cstheme="majorBidi"/>
          <w:sz w:val="24"/>
          <w:szCs w:val="24"/>
          <w:lang w:val="en-US"/>
        </w:rPr>
        <w:t>recently</w:t>
      </w:r>
      <w:r w:rsidR="008651D6"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2</w:t>
      </w:r>
      <w:r w:rsidR="00367111" w:rsidRPr="00D806D9">
        <w:rPr>
          <w:rFonts w:asciiTheme="majorBidi" w:hAnsiTheme="majorBidi" w:cstheme="majorBidi"/>
          <w:sz w:val="24"/>
          <w:szCs w:val="24"/>
          <w:lang w:val="en-US"/>
        </w:rPr>
        <w:t>7</w:t>
      </w:r>
    </w:p>
    <w:p w14:paraId="45EDC496" w14:textId="22D772EE" w:rsidR="00060035" w:rsidRPr="00D806D9" w:rsidRDefault="00060035"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3.1 EU-ETS design deficiencies</w:t>
      </w:r>
      <w:r w:rsidRPr="00D806D9">
        <w:rPr>
          <w:rFonts w:asciiTheme="majorBidi" w:hAnsiTheme="majorBidi" w:cstheme="majorBidi"/>
          <w:sz w:val="24"/>
          <w:szCs w:val="24"/>
          <w:lang w:val="en-US"/>
        </w:rPr>
        <w:tab/>
      </w:r>
      <w:r w:rsidR="000B7F15" w:rsidRPr="00D806D9">
        <w:rPr>
          <w:rFonts w:asciiTheme="majorBidi" w:hAnsiTheme="majorBidi" w:cstheme="majorBidi"/>
          <w:sz w:val="24"/>
          <w:szCs w:val="24"/>
          <w:lang w:val="en-US"/>
        </w:rPr>
        <w:t>2</w:t>
      </w:r>
      <w:r w:rsidR="00367111" w:rsidRPr="00D806D9">
        <w:rPr>
          <w:rFonts w:asciiTheme="majorBidi" w:hAnsiTheme="majorBidi" w:cstheme="majorBidi"/>
          <w:sz w:val="24"/>
          <w:szCs w:val="24"/>
          <w:lang w:val="en-US"/>
        </w:rPr>
        <w:t>7</w:t>
      </w:r>
    </w:p>
    <w:p w14:paraId="6C863FA5" w14:textId="231985E5" w:rsidR="000B7F15" w:rsidRPr="00D806D9" w:rsidRDefault="000B7F15"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3.1.1 An initial scope definition under influence</w:t>
      </w:r>
      <w:r w:rsidRPr="00D806D9">
        <w:rPr>
          <w:rFonts w:asciiTheme="majorBidi" w:hAnsiTheme="majorBidi" w:cstheme="majorBidi"/>
          <w:sz w:val="24"/>
          <w:szCs w:val="24"/>
          <w:lang w:val="en-US"/>
        </w:rPr>
        <w:tab/>
        <w:t>2</w:t>
      </w:r>
      <w:r w:rsidR="00367111" w:rsidRPr="00D806D9">
        <w:rPr>
          <w:rFonts w:asciiTheme="majorBidi" w:hAnsiTheme="majorBidi" w:cstheme="majorBidi"/>
          <w:sz w:val="24"/>
          <w:szCs w:val="24"/>
          <w:lang w:val="en-US"/>
        </w:rPr>
        <w:t>8</w:t>
      </w:r>
    </w:p>
    <w:p w14:paraId="36B6D6A4" w14:textId="19467930" w:rsidR="000B7F15" w:rsidRPr="00D806D9" w:rsidRDefault="000B7F15"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3.1.2 Governance flaws in the first EU-ETS phases</w:t>
      </w:r>
      <w:r w:rsidRPr="00D806D9">
        <w:rPr>
          <w:rFonts w:asciiTheme="majorBidi" w:hAnsiTheme="majorBidi" w:cstheme="majorBidi"/>
          <w:sz w:val="24"/>
          <w:szCs w:val="24"/>
          <w:lang w:val="en-US"/>
        </w:rPr>
        <w:tab/>
        <w:t>2</w:t>
      </w:r>
      <w:r w:rsidR="00367111" w:rsidRPr="00D806D9">
        <w:rPr>
          <w:rFonts w:asciiTheme="majorBidi" w:hAnsiTheme="majorBidi" w:cstheme="majorBidi"/>
          <w:sz w:val="24"/>
          <w:szCs w:val="24"/>
          <w:lang w:val="en-US"/>
        </w:rPr>
        <w:t>9</w:t>
      </w:r>
    </w:p>
    <w:p w14:paraId="35690231" w14:textId="52808751" w:rsidR="000B7F15" w:rsidRPr="00D806D9" w:rsidRDefault="000B7F15"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3.2</w:t>
      </w:r>
      <w:r w:rsidRPr="00D806D9">
        <w:rPr>
          <w:rFonts w:asciiTheme="majorBidi" w:hAnsiTheme="majorBidi" w:cstheme="majorBidi"/>
          <w:sz w:val="24"/>
          <w:szCs w:val="24"/>
          <w:lang w:val="en-US"/>
        </w:rPr>
        <w:tab/>
      </w:r>
      <w:r w:rsidR="00A424DC" w:rsidRPr="00D806D9">
        <w:rPr>
          <w:rFonts w:asciiTheme="majorBidi" w:hAnsiTheme="majorBidi" w:cstheme="majorBidi"/>
          <w:sz w:val="24"/>
          <w:szCs w:val="24"/>
          <w:lang w:val="en-US"/>
        </w:rPr>
        <w:t xml:space="preserve">EUA price formation, </w:t>
      </w:r>
      <w:r w:rsidR="00C71A2D" w:rsidRPr="00D806D9">
        <w:rPr>
          <w:rFonts w:asciiTheme="majorBidi" w:hAnsiTheme="majorBidi" w:cstheme="majorBidi"/>
          <w:sz w:val="24"/>
          <w:szCs w:val="24"/>
          <w:lang w:val="en-US"/>
        </w:rPr>
        <w:t>evolutions,</w:t>
      </w:r>
      <w:r w:rsidR="00A424DC" w:rsidRPr="00D806D9">
        <w:rPr>
          <w:rFonts w:asciiTheme="majorBidi" w:hAnsiTheme="majorBidi" w:cstheme="majorBidi"/>
          <w:sz w:val="24"/>
          <w:szCs w:val="24"/>
          <w:lang w:val="en-US"/>
        </w:rPr>
        <w:t xml:space="preserve"> and predictability</w:t>
      </w:r>
      <w:r w:rsidRPr="00D806D9">
        <w:rPr>
          <w:rFonts w:asciiTheme="majorBidi" w:hAnsiTheme="majorBidi" w:cstheme="majorBidi"/>
          <w:sz w:val="24"/>
          <w:szCs w:val="24"/>
          <w:lang w:val="en-US"/>
        </w:rPr>
        <w:tab/>
      </w:r>
      <w:r w:rsidR="00367111" w:rsidRPr="00D806D9">
        <w:rPr>
          <w:rFonts w:asciiTheme="majorBidi" w:hAnsiTheme="majorBidi" w:cstheme="majorBidi"/>
          <w:sz w:val="24"/>
          <w:szCs w:val="24"/>
          <w:lang w:val="en-US"/>
        </w:rPr>
        <w:t>30</w:t>
      </w:r>
    </w:p>
    <w:p w14:paraId="2703A969" w14:textId="7828D74D" w:rsidR="00A424DC" w:rsidRPr="00D806D9" w:rsidRDefault="00A424DC"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3.2.1 Endogenous factors</w:t>
      </w:r>
      <w:r w:rsidRPr="00D806D9">
        <w:rPr>
          <w:rFonts w:asciiTheme="majorBidi" w:hAnsiTheme="majorBidi" w:cstheme="majorBidi"/>
          <w:sz w:val="24"/>
          <w:szCs w:val="24"/>
          <w:lang w:val="en-US"/>
        </w:rPr>
        <w:tab/>
      </w:r>
      <w:r w:rsidR="00367111" w:rsidRPr="00D806D9">
        <w:rPr>
          <w:rFonts w:asciiTheme="majorBidi" w:hAnsiTheme="majorBidi" w:cstheme="majorBidi"/>
          <w:sz w:val="24"/>
          <w:szCs w:val="24"/>
          <w:lang w:val="en-US"/>
        </w:rPr>
        <w:t>30</w:t>
      </w:r>
    </w:p>
    <w:p w14:paraId="16F6342D" w14:textId="7D069AF5" w:rsidR="00A424DC" w:rsidRPr="00D806D9" w:rsidRDefault="00A424DC"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3.2.2 Exogenous factors</w:t>
      </w:r>
      <w:r w:rsidRPr="00D806D9">
        <w:rPr>
          <w:rFonts w:asciiTheme="majorBidi" w:hAnsiTheme="majorBidi" w:cstheme="majorBidi"/>
          <w:sz w:val="24"/>
          <w:szCs w:val="24"/>
          <w:lang w:val="en-US"/>
        </w:rPr>
        <w:tab/>
        <w:t>3</w:t>
      </w:r>
      <w:r w:rsidR="00367111" w:rsidRPr="00D806D9">
        <w:rPr>
          <w:rFonts w:asciiTheme="majorBidi" w:hAnsiTheme="majorBidi" w:cstheme="majorBidi"/>
          <w:sz w:val="24"/>
          <w:szCs w:val="24"/>
          <w:lang w:val="en-US"/>
        </w:rPr>
        <w:t>2</w:t>
      </w:r>
    </w:p>
    <w:p w14:paraId="1D83B388" w14:textId="678FE51D" w:rsidR="00A34676" w:rsidRPr="00D806D9" w:rsidRDefault="00A34676"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3.3 Dynamic and environmental efficienc</w:t>
      </w:r>
      <w:r w:rsidR="00FD6132">
        <w:rPr>
          <w:rFonts w:asciiTheme="majorBidi" w:hAnsiTheme="majorBidi" w:cstheme="majorBidi"/>
          <w:sz w:val="24"/>
          <w:szCs w:val="24"/>
          <w:lang w:val="en-US"/>
        </w:rPr>
        <w:t>y</w:t>
      </w:r>
      <w:r w:rsidRPr="00D806D9">
        <w:rPr>
          <w:rFonts w:asciiTheme="majorBidi" w:hAnsiTheme="majorBidi" w:cstheme="majorBidi"/>
          <w:sz w:val="24"/>
          <w:szCs w:val="24"/>
          <w:lang w:val="en-US"/>
        </w:rPr>
        <w:t xml:space="preserve"> results</w:t>
      </w:r>
      <w:r w:rsidRPr="00D806D9">
        <w:rPr>
          <w:rFonts w:asciiTheme="majorBidi" w:hAnsiTheme="majorBidi" w:cstheme="majorBidi"/>
          <w:sz w:val="24"/>
          <w:szCs w:val="24"/>
          <w:lang w:val="en-US"/>
        </w:rPr>
        <w:tab/>
      </w:r>
      <w:r w:rsidR="00F2784F" w:rsidRPr="00D806D9">
        <w:rPr>
          <w:rFonts w:asciiTheme="majorBidi" w:hAnsiTheme="majorBidi" w:cstheme="majorBidi"/>
          <w:sz w:val="24"/>
          <w:szCs w:val="24"/>
          <w:lang w:val="en-US"/>
        </w:rPr>
        <w:t>3</w:t>
      </w:r>
      <w:r w:rsidR="00367111" w:rsidRPr="00D806D9">
        <w:rPr>
          <w:rFonts w:asciiTheme="majorBidi" w:hAnsiTheme="majorBidi" w:cstheme="majorBidi"/>
          <w:sz w:val="24"/>
          <w:szCs w:val="24"/>
          <w:lang w:val="en-US"/>
        </w:rPr>
        <w:t>4</w:t>
      </w:r>
    </w:p>
    <w:p w14:paraId="644DBC64" w14:textId="035B3CA5" w:rsidR="00A34676" w:rsidRPr="00D806D9" w:rsidRDefault="00A34676"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 xml:space="preserve">3.3.1 </w:t>
      </w:r>
      <w:r w:rsidR="00367111" w:rsidRPr="00D806D9">
        <w:rPr>
          <w:rFonts w:asciiTheme="majorBidi" w:hAnsiTheme="majorBidi" w:cstheme="majorBidi"/>
          <w:sz w:val="24"/>
          <w:szCs w:val="24"/>
          <w:lang w:val="en-US"/>
        </w:rPr>
        <w:t>Induced innovation and competitive process</w:t>
      </w:r>
      <w:r w:rsidR="00F2784F" w:rsidRPr="00D806D9">
        <w:rPr>
          <w:rFonts w:asciiTheme="majorBidi" w:hAnsiTheme="majorBidi" w:cstheme="majorBidi"/>
          <w:sz w:val="24"/>
          <w:szCs w:val="24"/>
          <w:lang w:val="en-US"/>
        </w:rPr>
        <w:tab/>
        <w:t>3</w:t>
      </w:r>
      <w:r w:rsidR="00367111" w:rsidRPr="00D806D9">
        <w:rPr>
          <w:rFonts w:asciiTheme="majorBidi" w:hAnsiTheme="majorBidi" w:cstheme="majorBidi"/>
          <w:sz w:val="24"/>
          <w:szCs w:val="24"/>
          <w:lang w:val="en-US"/>
        </w:rPr>
        <w:t>4</w:t>
      </w:r>
    </w:p>
    <w:p w14:paraId="31A4E898" w14:textId="7CE83F18" w:rsidR="00F2784F" w:rsidRPr="00D806D9" w:rsidRDefault="00F2784F" w:rsidP="00060035">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3.3.2 Environmental Efficiency</w:t>
      </w:r>
      <w:r w:rsidRPr="00D806D9">
        <w:rPr>
          <w:rFonts w:asciiTheme="majorBidi" w:hAnsiTheme="majorBidi" w:cstheme="majorBidi"/>
          <w:sz w:val="24"/>
          <w:szCs w:val="24"/>
          <w:lang w:val="en-US"/>
        </w:rPr>
        <w:tab/>
        <w:t>3</w:t>
      </w:r>
      <w:r w:rsidR="00C4399A">
        <w:rPr>
          <w:rFonts w:asciiTheme="majorBidi" w:hAnsiTheme="majorBidi" w:cstheme="majorBidi"/>
          <w:sz w:val="24"/>
          <w:szCs w:val="24"/>
          <w:lang w:val="en-US"/>
        </w:rPr>
        <w:t>5</w:t>
      </w:r>
    </w:p>
    <w:p w14:paraId="041E1C72" w14:textId="1235FDBC" w:rsidR="0003516E" w:rsidRPr="00D806D9" w:rsidRDefault="0003516E" w:rsidP="00060035">
      <w:pPr>
        <w:tabs>
          <w:tab w:val="left" w:leader="dot" w:pos="8222"/>
          <w:tab w:val="left" w:leader="dot" w:pos="8505"/>
        </w:tabs>
        <w:ind w:left="993" w:hanging="426"/>
        <w:rPr>
          <w:rFonts w:asciiTheme="majorBidi" w:hAnsiTheme="majorBidi" w:cstheme="majorBidi"/>
          <w:sz w:val="24"/>
          <w:szCs w:val="24"/>
          <w:lang w:val="en-US"/>
        </w:rPr>
      </w:pPr>
    </w:p>
    <w:p w14:paraId="3C53D13D" w14:textId="77777777" w:rsidR="0003516E" w:rsidRPr="00D806D9" w:rsidRDefault="0003516E" w:rsidP="00060035">
      <w:pPr>
        <w:tabs>
          <w:tab w:val="left" w:leader="dot" w:pos="8222"/>
          <w:tab w:val="left" w:leader="dot" w:pos="8505"/>
        </w:tabs>
        <w:ind w:left="993" w:hanging="426"/>
        <w:rPr>
          <w:rFonts w:asciiTheme="majorBidi" w:hAnsiTheme="majorBidi" w:cstheme="majorBidi"/>
          <w:sz w:val="24"/>
          <w:szCs w:val="24"/>
          <w:lang w:val="en-US"/>
        </w:rPr>
      </w:pPr>
    </w:p>
    <w:p w14:paraId="33B44E96" w14:textId="159A98F2" w:rsidR="008651D6" w:rsidRPr="00D806D9" w:rsidRDefault="00F42D91" w:rsidP="008651D6">
      <w:pPr>
        <w:tabs>
          <w:tab w:val="left" w:leader="dot" w:pos="8222"/>
          <w:tab w:val="left" w:leader="dot" w:pos="8505"/>
        </w:tabs>
        <w:rPr>
          <w:rFonts w:asciiTheme="majorBidi" w:hAnsiTheme="majorBidi" w:cstheme="majorBidi"/>
          <w:sz w:val="24"/>
          <w:szCs w:val="24"/>
          <w:lang w:val="en-US"/>
        </w:rPr>
      </w:pPr>
      <w:r w:rsidRPr="00D806D9">
        <w:rPr>
          <w:rFonts w:asciiTheme="majorBidi" w:hAnsiTheme="majorBidi" w:cstheme="majorBidi"/>
          <w:sz w:val="24"/>
          <w:szCs w:val="24"/>
          <w:lang w:val="en-US"/>
        </w:rPr>
        <w:lastRenderedPageBreak/>
        <w:t xml:space="preserve">Section </w:t>
      </w:r>
      <w:r w:rsidR="00B20DBD" w:rsidRPr="00D806D9">
        <w:rPr>
          <w:rFonts w:asciiTheme="majorBidi" w:hAnsiTheme="majorBidi" w:cstheme="majorBidi"/>
          <w:sz w:val="24"/>
          <w:szCs w:val="24"/>
          <w:lang w:val="en-US"/>
        </w:rPr>
        <w:t>4</w:t>
      </w:r>
      <w:r w:rsidR="001D7188" w:rsidRPr="00D806D9">
        <w:rPr>
          <w:rFonts w:asciiTheme="majorBidi" w:hAnsiTheme="majorBidi" w:cstheme="majorBidi"/>
          <w:sz w:val="24"/>
          <w:szCs w:val="24"/>
          <w:lang w:val="en-US"/>
        </w:rPr>
        <w:t>:</w:t>
      </w:r>
      <w:r w:rsidR="008651D6" w:rsidRPr="00D806D9">
        <w:rPr>
          <w:rFonts w:asciiTheme="majorBidi" w:hAnsiTheme="majorBidi" w:cstheme="majorBidi"/>
          <w:sz w:val="24"/>
          <w:szCs w:val="24"/>
          <w:lang w:val="en-US"/>
        </w:rPr>
        <w:t xml:space="preserve"> </w:t>
      </w:r>
      <w:r w:rsidR="00E0043B" w:rsidRPr="00D806D9">
        <w:rPr>
          <w:rFonts w:asciiTheme="majorBidi" w:hAnsiTheme="majorBidi" w:cstheme="majorBidi"/>
          <w:sz w:val="24"/>
          <w:szCs w:val="24"/>
          <w:lang w:val="en-US"/>
        </w:rPr>
        <w:t>CCfD to boost LCH in Europe, an efficient instrument?</w:t>
      </w:r>
      <w:r w:rsidR="008651D6" w:rsidRPr="00D806D9">
        <w:rPr>
          <w:rFonts w:asciiTheme="majorBidi" w:hAnsiTheme="majorBidi" w:cstheme="majorBidi"/>
          <w:sz w:val="24"/>
          <w:szCs w:val="24"/>
          <w:lang w:val="en-US"/>
        </w:rPr>
        <w:tab/>
      </w:r>
      <w:r w:rsidR="00E0043B" w:rsidRPr="00D806D9">
        <w:rPr>
          <w:rFonts w:asciiTheme="majorBidi" w:hAnsiTheme="majorBidi" w:cstheme="majorBidi"/>
          <w:sz w:val="24"/>
          <w:szCs w:val="24"/>
          <w:lang w:val="en-US"/>
        </w:rPr>
        <w:t>3</w:t>
      </w:r>
      <w:r w:rsidR="002B1E02">
        <w:rPr>
          <w:rFonts w:asciiTheme="majorBidi" w:hAnsiTheme="majorBidi" w:cstheme="majorBidi"/>
          <w:sz w:val="24"/>
          <w:szCs w:val="24"/>
          <w:lang w:val="en-US"/>
        </w:rPr>
        <w:t>8</w:t>
      </w:r>
    </w:p>
    <w:p w14:paraId="0916E539" w14:textId="41E69877" w:rsidR="008C33DA" w:rsidRPr="00D806D9" w:rsidRDefault="008C33DA" w:rsidP="008C33DA">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4.1 An attractive instrument to reinforce projects’ financial viability</w:t>
      </w:r>
      <w:r w:rsidRPr="00D806D9">
        <w:rPr>
          <w:rFonts w:asciiTheme="majorBidi" w:hAnsiTheme="majorBidi" w:cstheme="majorBidi"/>
          <w:sz w:val="24"/>
          <w:szCs w:val="24"/>
          <w:lang w:val="en-US"/>
        </w:rPr>
        <w:tab/>
        <w:t>3</w:t>
      </w:r>
      <w:r w:rsidR="002B1E02">
        <w:rPr>
          <w:rFonts w:asciiTheme="majorBidi" w:hAnsiTheme="majorBidi" w:cstheme="majorBidi"/>
          <w:sz w:val="24"/>
          <w:szCs w:val="24"/>
          <w:lang w:val="en-US"/>
        </w:rPr>
        <w:t>9</w:t>
      </w:r>
    </w:p>
    <w:p w14:paraId="1CFFA090" w14:textId="6DC69E94" w:rsidR="00C35CE7" w:rsidRPr="00D806D9" w:rsidRDefault="00C35CE7" w:rsidP="008C33DA">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4.2 An unbalanced risk allocation</w:t>
      </w:r>
      <w:r w:rsidRPr="00D806D9">
        <w:rPr>
          <w:rFonts w:asciiTheme="majorBidi" w:hAnsiTheme="majorBidi" w:cstheme="majorBidi"/>
          <w:sz w:val="24"/>
          <w:szCs w:val="24"/>
          <w:lang w:val="en-US"/>
        </w:rPr>
        <w:tab/>
      </w:r>
      <w:r w:rsidR="00C6618F" w:rsidRPr="00D806D9">
        <w:rPr>
          <w:rFonts w:asciiTheme="majorBidi" w:hAnsiTheme="majorBidi" w:cstheme="majorBidi"/>
          <w:sz w:val="24"/>
          <w:szCs w:val="24"/>
          <w:lang w:val="en-US"/>
        </w:rPr>
        <w:t>41</w:t>
      </w:r>
    </w:p>
    <w:p w14:paraId="3E5780DF" w14:textId="16E857E3" w:rsidR="00C35CE7" w:rsidRPr="00D806D9" w:rsidRDefault="00C35CE7" w:rsidP="008C33DA">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4.3 Institutional risk</w:t>
      </w:r>
      <w:r w:rsidR="00DE6F85">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related to the technology</w:t>
      </w:r>
      <w:r w:rsidRPr="00D806D9">
        <w:rPr>
          <w:rFonts w:asciiTheme="majorBidi" w:hAnsiTheme="majorBidi" w:cstheme="majorBidi"/>
          <w:sz w:val="24"/>
          <w:szCs w:val="24"/>
          <w:lang w:val="en-US"/>
        </w:rPr>
        <w:tab/>
      </w:r>
      <w:r w:rsidR="00C6618F" w:rsidRPr="00D806D9">
        <w:rPr>
          <w:rFonts w:asciiTheme="majorBidi" w:hAnsiTheme="majorBidi" w:cstheme="majorBidi"/>
          <w:sz w:val="24"/>
          <w:szCs w:val="24"/>
          <w:lang w:val="en-US"/>
        </w:rPr>
        <w:t>43</w:t>
      </w:r>
    </w:p>
    <w:p w14:paraId="108BFAA8" w14:textId="7DB6C4F8" w:rsidR="00C35CE7" w:rsidRPr="00D806D9" w:rsidRDefault="00C35CE7" w:rsidP="008C33DA">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4.4 Anticompetitive effects</w:t>
      </w:r>
      <w:r w:rsidR="00577ADD" w:rsidRPr="00D806D9">
        <w:rPr>
          <w:rFonts w:asciiTheme="majorBidi" w:hAnsiTheme="majorBidi" w:cstheme="majorBidi"/>
          <w:sz w:val="24"/>
          <w:szCs w:val="24"/>
          <w:lang w:val="en-US"/>
        </w:rPr>
        <w:tab/>
      </w:r>
      <w:r w:rsidR="00C6618F" w:rsidRPr="00D806D9">
        <w:rPr>
          <w:rFonts w:asciiTheme="majorBidi" w:hAnsiTheme="majorBidi" w:cstheme="majorBidi"/>
          <w:sz w:val="24"/>
          <w:szCs w:val="24"/>
          <w:lang w:val="en-US"/>
        </w:rPr>
        <w:t>45</w:t>
      </w:r>
    </w:p>
    <w:p w14:paraId="018389D3" w14:textId="18499943" w:rsidR="00C35CE7" w:rsidRPr="00D806D9" w:rsidRDefault="00C35CE7" w:rsidP="008C33DA">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 xml:space="preserve">4.5 </w:t>
      </w:r>
      <w:r w:rsidR="002B1E02" w:rsidRPr="00D806D9">
        <w:rPr>
          <w:rFonts w:asciiTheme="majorBidi" w:hAnsiTheme="majorBidi" w:cstheme="majorBidi"/>
          <w:sz w:val="24"/>
          <w:szCs w:val="24"/>
          <w:lang w:val="en-US"/>
        </w:rPr>
        <w:t>Correctly Pricing the Carbon to Evaluate CCfD Opportunity</w:t>
      </w:r>
      <w:r w:rsidR="009470E2" w:rsidRPr="00D806D9">
        <w:rPr>
          <w:rFonts w:asciiTheme="majorBidi" w:hAnsiTheme="majorBidi" w:cstheme="majorBidi"/>
          <w:sz w:val="24"/>
          <w:szCs w:val="24"/>
          <w:lang w:val="en-US"/>
        </w:rPr>
        <w:tab/>
      </w:r>
      <w:r w:rsidR="00C6618F" w:rsidRPr="00D806D9">
        <w:rPr>
          <w:rFonts w:asciiTheme="majorBidi" w:hAnsiTheme="majorBidi" w:cstheme="majorBidi"/>
          <w:sz w:val="24"/>
          <w:szCs w:val="24"/>
          <w:lang w:val="en-US"/>
        </w:rPr>
        <w:t>46</w:t>
      </w:r>
    </w:p>
    <w:p w14:paraId="65A61BFA" w14:textId="77777777" w:rsidR="0003516E" w:rsidRPr="00D806D9" w:rsidRDefault="0003516E" w:rsidP="008C33DA">
      <w:pPr>
        <w:tabs>
          <w:tab w:val="left" w:leader="dot" w:pos="8222"/>
          <w:tab w:val="left" w:leader="dot" w:pos="8505"/>
        </w:tabs>
        <w:ind w:left="993" w:hanging="426"/>
        <w:rPr>
          <w:rFonts w:asciiTheme="majorBidi" w:hAnsiTheme="majorBidi" w:cstheme="majorBidi"/>
          <w:sz w:val="24"/>
          <w:szCs w:val="24"/>
          <w:lang w:val="en-US"/>
        </w:rPr>
      </w:pPr>
    </w:p>
    <w:p w14:paraId="71A9C9DC" w14:textId="49FC6554" w:rsidR="00F42D91" w:rsidRPr="00D806D9" w:rsidRDefault="00F42D91" w:rsidP="00F42D91">
      <w:pPr>
        <w:tabs>
          <w:tab w:val="left" w:leader="dot" w:pos="8222"/>
          <w:tab w:val="left" w:leader="dot" w:pos="8505"/>
        </w:tabs>
        <w:rPr>
          <w:rFonts w:asciiTheme="majorBidi" w:hAnsiTheme="majorBidi" w:cstheme="majorBidi"/>
          <w:sz w:val="24"/>
          <w:szCs w:val="24"/>
          <w:lang w:val="en-US"/>
        </w:rPr>
      </w:pPr>
      <w:r w:rsidRPr="00D806D9">
        <w:rPr>
          <w:rFonts w:asciiTheme="majorBidi" w:hAnsiTheme="majorBidi" w:cstheme="majorBidi"/>
          <w:sz w:val="24"/>
          <w:szCs w:val="24"/>
          <w:lang w:val="en-US"/>
        </w:rPr>
        <w:t xml:space="preserve">Section </w:t>
      </w:r>
      <w:r w:rsidR="00B20DBD" w:rsidRPr="00D806D9">
        <w:rPr>
          <w:rFonts w:asciiTheme="majorBidi" w:hAnsiTheme="majorBidi" w:cstheme="majorBidi"/>
          <w:sz w:val="24"/>
          <w:szCs w:val="24"/>
          <w:lang w:val="en-US"/>
        </w:rPr>
        <w:t>5</w:t>
      </w:r>
      <w:r w:rsidR="001D7188"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t>
      </w:r>
      <w:r w:rsidR="00E0043B" w:rsidRPr="00D806D9">
        <w:rPr>
          <w:rFonts w:asciiTheme="majorBidi" w:hAnsiTheme="majorBidi" w:cstheme="majorBidi"/>
          <w:sz w:val="24"/>
          <w:szCs w:val="24"/>
          <w:lang w:val="en-US"/>
        </w:rPr>
        <w:t>Discussion</w:t>
      </w:r>
      <w:r w:rsidRPr="00D806D9">
        <w:rPr>
          <w:rFonts w:asciiTheme="majorBidi" w:hAnsiTheme="majorBidi" w:cstheme="majorBidi"/>
          <w:sz w:val="24"/>
          <w:szCs w:val="24"/>
          <w:lang w:val="en-US"/>
        </w:rPr>
        <w:tab/>
      </w:r>
      <w:r w:rsidR="00E60725" w:rsidRPr="00D806D9">
        <w:rPr>
          <w:rFonts w:asciiTheme="majorBidi" w:hAnsiTheme="majorBidi" w:cstheme="majorBidi"/>
          <w:sz w:val="24"/>
          <w:szCs w:val="24"/>
          <w:lang w:val="en-US"/>
        </w:rPr>
        <w:t>4</w:t>
      </w:r>
      <w:r w:rsidR="002B1E02">
        <w:rPr>
          <w:rFonts w:asciiTheme="majorBidi" w:hAnsiTheme="majorBidi" w:cstheme="majorBidi"/>
          <w:sz w:val="24"/>
          <w:szCs w:val="24"/>
          <w:lang w:val="en-US"/>
        </w:rPr>
        <w:t>9</w:t>
      </w:r>
    </w:p>
    <w:p w14:paraId="35A38F19" w14:textId="77777777" w:rsidR="009470E2" w:rsidRPr="00D806D9" w:rsidRDefault="00C35CE7"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5.1 LCH: a choice based on economic strategic behavior rather than</w:t>
      </w:r>
    </w:p>
    <w:p w14:paraId="123CFD87" w14:textId="1FA1BEB8" w:rsidR="009470E2" w:rsidRPr="00D806D9" w:rsidRDefault="00C35CE7"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environmental efficiency</w:t>
      </w:r>
      <w:r w:rsidR="009470E2" w:rsidRPr="00D806D9">
        <w:rPr>
          <w:rFonts w:asciiTheme="majorBidi" w:hAnsiTheme="majorBidi" w:cstheme="majorBidi"/>
          <w:sz w:val="24"/>
          <w:szCs w:val="24"/>
          <w:lang w:val="en-US"/>
        </w:rPr>
        <w:t>?</w:t>
      </w:r>
      <w:r w:rsidR="009470E2" w:rsidRPr="00D806D9">
        <w:rPr>
          <w:rFonts w:asciiTheme="majorBidi" w:hAnsiTheme="majorBidi" w:cstheme="majorBidi"/>
          <w:sz w:val="24"/>
          <w:szCs w:val="24"/>
          <w:lang w:val="en-US"/>
        </w:rPr>
        <w:tab/>
      </w:r>
      <w:r w:rsidR="0010378B" w:rsidRPr="00D806D9">
        <w:rPr>
          <w:rFonts w:asciiTheme="majorBidi" w:hAnsiTheme="majorBidi" w:cstheme="majorBidi"/>
          <w:sz w:val="24"/>
          <w:szCs w:val="24"/>
          <w:lang w:val="en-US"/>
        </w:rPr>
        <w:t>49</w:t>
      </w:r>
    </w:p>
    <w:p w14:paraId="067C2FAC" w14:textId="73E43D26" w:rsidR="009470E2"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5.2 CCfD: a misled and counter-productive instrument</w:t>
      </w:r>
      <w:r w:rsidRPr="00D806D9">
        <w:rPr>
          <w:rFonts w:asciiTheme="majorBidi" w:hAnsiTheme="majorBidi" w:cstheme="majorBidi"/>
          <w:sz w:val="24"/>
          <w:szCs w:val="24"/>
          <w:lang w:val="en-US"/>
        </w:rPr>
        <w:tab/>
      </w:r>
      <w:r w:rsidR="0010378B" w:rsidRPr="00D806D9">
        <w:rPr>
          <w:rFonts w:asciiTheme="majorBidi" w:hAnsiTheme="majorBidi" w:cstheme="majorBidi"/>
          <w:sz w:val="24"/>
          <w:szCs w:val="24"/>
          <w:lang w:val="en-US"/>
        </w:rPr>
        <w:t>51</w:t>
      </w:r>
    </w:p>
    <w:p w14:paraId="76E763EA" w14:textId="77777777" w:rsidR="0003516E"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 xml:space="preserve">5.2.1 CCFD as an uncertain budgetary commitment and policy </w:t>
      </w:r>
    </w:p>
    <w:p w14:paraId="4990C62A" w14:textId="37DD005B" w:rsidR="009470E2" w:rsidRPr="00D806D9" w:rsidRDefault="0003516E"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r>
      <w:r w:rsidR="009470E2" w:rsidRPr="00D806D9">
        <w:rPr>
          <w:rFonts w:asciiTheme="majorBidi" w:hAnsiTheme="majorBidi" w:cstheme="majorBidi"/>
          <w:sz w:val="24"/>
          <w:szCs w:val="24"/>
          <w:lang w:val="en-US"/>
        </w:rPr>
        <w:t>incoherence</w:t>
      </w:r>
      <w:r w:rsidR="009470E2" w:rsidRPr="00D806D9">
        <w:rPr>
          <w:rFonts w:asciiTheme="majorBidi" w:hAnsiTheme="majorBidi" w:cstheme="majorBidi"/>
          <w:sz w:val="24"/>
          <w:szCs w:val="24"/>
          <w:lang w:val="en-US"/>
        </w:rPr>
        <w:tab/>
      </w:r>
      <w:r w:rsidR="0010378B" w:rsidRPr="00D806D9">
        <w:rPr>
          <w:rFonts w:asciiTheme="majorBidi" w:hAnsiTheme="majorBidi" w:cstheme="majorBidi"/>
          <w:sz w:val="24"/>
          <w:szCs w:val="24"/>
          <w:lang w:val="en-US"/>
        </w:rPr>
        <w:t>51</w:t>
      </w:r>
    </w:p>
    <w:p w14:paraId="2E6494AD" w14:textId="12B7CE5A" w:rsidR="009470E2"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 xml:space="preserve">5.2.2 A </w:t>
      </w:r>
      <w:r w:rsidR="002B1E02" w:rsidRPr="00D806D9">
        <w:rPr>
          <w:rFonts w:asciiTheme="majorBidi" w:hAnsiTheme="majorBidi" w:cstheme="majorBidi"/>
          <w:sz w:val="24"/>
          <w:szCs w:val="24"/>
          <w:lang w:val="en-US"/>
        </w:rPr>
        <w:t xml:space="preserve">regulation puzzle, potential source of a third type </w:t>
      </w:r>
      <w:r w:rsidRPr="00D806D9">
        <w:rPr>
          <w:rFonts w:asciiTheme="majorBidi" w:hAnsiTheme="majorBidi" w:cstheme="majorBidi"/>
          <w:sz w:val="24"/>
          <w:szCs w:val="24"/>
          <w:lang w:val="en-US"/>
        </w:rPr>
        <w:t xml:space="preserve">of regulatory </w:t>
      </w:r>
    </w:p>
    <w:p w14:paraId="285A8CAC" w14:textId="66E3BEED" w:rsidR="009470E2"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capture?</w:t>
      </w:r>
      <w:r w:rsidRPr="00D806D9">
        <w:rPr>
          <w:rFonts w:asciiTheme="majorBidi" w:hAnsiTheme="majorBidi" w:cstheme="majorBidi"/>
          <w:sz w:val="24"/>
          <w:szCs w:val="24"/>
          <w:lang w:val="en-US"/>
        </w:rPr>
        <w:tab/>
      </w:r>
      <w:r w:rsidR="0010378B" w:rsidRPr="00D806D9">
        <w:rPr>
          <w:rFonts w:asciiTheme="majorBidi" w:hAnsiTheme="majorBidi" w:cstheme="majorBidi"/>
          <w:sz w:val="24"/>
          <w:szCs w:val="24"/>
          <w:lang w:val="en-US"/>
        </w:rPr>
        <w:t>53</w:t>
      </w:r>
    </w:p>
    <w:p w14:paraId="2DEC5F2B" w14:textId="79C570BE" w:rsidR="009470E2"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 xml:space="preserve">5.3 </w:t>
      </w:r>
      <w:r w:rsidR="002B1E02" w:rsidRPr="00D806D9">
        <w:rPr>
          <w:rFonts w:asciiTheme="majorBidi" w:hAnsiTheme="majorBidi" w:cstheme="majorBidi"/>
          <w:sz w:val="24"/>
          <w:szCs w:val="24"/>
          <w:lang w:val="en-US"/>
        </w:rPr>
        <w:t>Alternative policies</w:t>
      </w:r>
      <w:r w:rsidRPr="00D806D9">
        <w:rPr>
          <w:rFonts w:asciiTheme="majorBidi" w:hAnsiTheme="majorBidi" w:cstheme="majorBidi"/>
          <w:sz w:val="24"/>
          <w:szCs w:val="24"/>
          <w:lang w:val="en-US"/>
        </w:rPr>
        <w:tab/>
      </w:r>
      <w:r w:rsidR="002A7EF2" w:rsidRPr="00D806D9">
        <w:rPr>
          <w:rFonts w:asciiTheme="majorBidi" w:hAnsiTheme="majorBidi" w:cstheme="majorBidi"/>
          <w:sz w:val="24"/>
          <w:szCs w:val="24"/>
          <w:lang w:val="en-US"/>
        </w:rPr>
        <w:t>55</w:t>
      </w:r>
    </w:p>
    <w:p w14:paraId="05A50B9A" w14:textId="13C28FE3" w:rsidR="009470E2"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5.3.1 The carbon price as an alternative?</w:t>
      </w:r>
      <w:r w:rsidRPr="00D806D9">
        <w:rPr>
          <w:rFonts w:asciiTheme="majorBidi" w:hAnsiTheme="majorBidi" w:cstheme="majorBidi"/>
          <w:sz w:val="24"/>
          <w:szCs w:val="24"/>
          <w:lang w:val="en-US"/>
        </w:rPr>
        <w:tab/>
      </w:r>
      <w:r w:rsidR="002A7EF2" w:rsidRPr="00D806D9">
        <w:rPr>
          <w:rFonts w:asciiTheme="majorBidi" w:hAnsiTheme="majorBidi" w:cstheme="majorBidi"/>
          <w:sz w:val="24"/>
          <w:szCs w:val="24"/>
          <w:lang w:val="en-US"/>
        </w:rPr>
        <w:t>55</w:t>
      </w:r>
    </w:p>
    <w:p w14:paraId="5534F15F" w14:textId="5AA56076" w:rsidR="009470E2"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 xml:space="preserve">5.3.2 Energy and climate change understanding for an immediate </w:t>
      </w:r>
    </w:p>
    <w:p w14:paraId="0915436D" w14:textId="1325AAF7" w:rsidR="009470E2" w:rsidRPr="00D806D9" w:rsidRDefault="009470E2" w:rsidP="009470E2">
      <w:pPr>
        <w:tabs>
          <w:tab w:val="left" w:leader="dot" w:pos="8222"/>
          <w:tab w:val="left" w:leader="dot" w:pos="8505"/>
        </w:tabs>
        <w:ind w:left="993" w:hanging="426"/>
        <w:rPr>
          <w:rFonts w:asciiTheme="majorBidi" w:hAnsiTheme="majorBidi" w:cstheme="majorBidi"/>
          <w:sz w:val="24"/>
          <w:szCs w:val="24"/>
          <w:lang w:val="en-US"/>
        </w:rPr>
      </w:pPr>
      <w:r w:rsidRPr="00D806D9">
        <w:rPr>
          <w:rFonts w:asciiTheme="majorBidi" w:hAnsiTheme="majorBidi" w:cstheme="majorBidi"/>
          <w:sz w:val="24"/>
          <w:szCs w:val="24"/>
          <w:lang w:val="en-US"/>
        </w:rPr>
        <w:tab/>
        <w:t>environmental response: energy sufficiency planification</w:t>
      </w:r>
      <w:r w:rsidRPr="00D806D9">
        <w:rPr>
          <w:rFonts w:asciiTheme="majorBidi" w:hAnsiTheme="majorBidi" w:cstheme="majorBidi"/>
          <w:sz w:val="24"/>
          <w:szCs w:val="24"/>
          <w:lang w:val="en-US"/>
        </w:rPr>
        <w:tab/>
      </w:r>
      <w:r w:rsidR="002A7EF2" w:rsidRPr="00D806D9">
        <w:rPr>
          <w:rFonts w:asciiTheme="majorBidi" w:hAnsiTheme="majorBidi" w:cstheme="majorBidi"/>
          <w:sz w:val="24"/>
          <w:szCs w:val="24"/>
          <w:lang w:val="en-US"/>
        </w:rPr>
        <w:t>57</w:t>
      </w:r>
    </w:p>
    <w:p w14:paraId="0F47B2CA" w14:textId="77777777" w:rsidR="0003516E" w:rsidRPr="00D806D9" w:rsidRDefault="0003516E" w:rsidP="0003516E">
      <w:pPr>
        <w:tabs>
          <w:tab w:val="left" w:leader="dot" w:pos="8222"/>
          <w:tab w:val="left" w:leader="dot" w:pos="8505"/>
        </w:tabs>
        <w:rPr>
          <w:rFonts w:asciiTheme="majorBidi" w:hAnsiTheme="majorBidi" w:cstheme="majorBidi"/>
          <w:sz w:val="24"/>
          <w:szCs w:val="24"/>
          <w:lang w:val="en-US"/>
        </w:rPr>
      </w:pPr>
    </w:p>
    <w:p w14:paraId="002EADB6" w14:textId="1564D77F" w:rsidR="0068594C" w:rsidRPr="00D806D9" w:rsidRDefault="0068594C" w:rsidP="009B42AC">
      <w:pPr>
        <w:tabs>
          <w:tab w:val="left" w:leader="dot" w:pos="8222"/>
          <w:tab w:val="left" w:leader="dot" w:pos="8505"/>
        </w:tabs>
        <w:rPr>
          <w:rFonts w:asciiTheme="majorBidi" w:hAnsiTheme="majorBidi" w:cstheme="majorBidi"/>
          <w:sz w:val="24"/>
          <w:szCs w:val="24"/>
          <w:lang w:val="en-US"/>
        </w:rPr>
      </w:pPr>
      <w:r w:rsidRPr="00D806D9">
        <w:rPr>
          <w:rFonts w:asciiTheme="majorBidi" w:hAnsiTheme="majorBidi" w:cstheme="majorBidi"/>
          <w:sz w:val="24"/>
          <w:szCs w:val="24"/>
          <w:lang w:val="en-US"/>
        </w:rPr>
        <w:t>Conclusion</w:t>
      </w:r>
      <w:r w:rsidRPr="00D806D9">
        <w:rPr>
          <w:rFonts w:asciiTheme="majorBidi" w:hAnsiTheme="majorBidi" w:cstheme="majorBidi"/>
          <w:sz w:val="24"/>
          <w:szCs w:val="24"/>
          <w:lang w:val="en-US"/>
        </w:rPr>
        <w:tab/>
      </w:r>
      <w:r w:rsidR="002A7EF2" w:rsidRPr="00D806D9">
        <w:rPr>
          <w:rFonts w:asciiTheme="majorBidi" w:hAnsiTheme="majorBidi" w:cstheme="majorBidi"/>
          <w:sz w:val="24"/>
          <w:szCs w:val="24"/>
          <w:lang w:val="en-US"/>
        </w:rPr>
        <w:t>60</w:t>
      </w:r>
    </w:p>
    <w:p w14:paraId="1584FCD1" w14:textId="55466055" w:rsidR="0068594C" w:rsidRPr="00D806D9" w:rsidRDefault="0068594C" w:rsidP="009B42AC">
      <w:pPr>
        <w:tabs>
          <w:tab w:val="left" w:leader="dot" w:pos="8222"/>
          <w:tab w:val="left" w:leader="dot" w:pos="8505"/>
        </w:tabs>
        <w:rPr>
          <w:rFonts w:asciiTheme="majorBidi" w:hAnsiTheme="majorBidi" w:cstheme="majorBidi"/>
          <w:color w:val="FF0000"/>
          <w:sz w:val="24"/>
          <w:szCs w:val="24"/>
          <w:lang w:val="en-US"/>
        </w:rPr>
      </w:pPr>
      <w:r w:rsidRPr="00D806D9">
        <w:rPr>
          <w:rFonts w:asciiTheme="majorBidi" w:hAnsiTheme="majorBidi" w:cstheme="majorBidi"/>
          <w:sz w:val="24"/>
          <w:szCs w:val="24"/>
          <w:lang w:val="en-US"/>
        </w:rPr>
        <w:t>Bibliograph</w:t>
      </w:r>
      <w:r w:rsidR="008651D6" w:rsidRPr="00D806D9">
        <w:rPr>
          <w:rFonts w:asciiTheme="majorBidi" w:hAnsiTheme="majorBidi" w:cstheme="majorBidi"/>
          <w:sz w:val="24"/>
          <w:szCs w:val="24"/>
          <w:lang w:val="en-US"/>
        </w:rPr>
        <w:t>y</w:t>
      </w:r>
      <w:r w:rsidRPr="00D806D9">
        <w:rPr>
          <w:rFonts w:asciiTheme="majorBidi" w:hAnsiTheme="majorBidi" w:cstheme="majorBidi"/>
          <w:sz w:val="24"/>
          <w:szCs w:val="24"/>
          <w:lang w:val="en-US"/>
        </w:rPr>
        <w:tab/>
      </w:r>
      <w:r w:rsidR="00E60725" w:rsidRPr="00D806D9">
        <w:rPr>
          <w:rFonts w:asciiTheme="majorBidi" w:hAnsiTheme="majorBidi" w:cstheme="majorBidi"/>
          <w:sz w:val="24"/>
          <w:szCs w:val="24"/>
          <w:lang w:val="en-US"/>
        </w:rPr>
        <w:t>6</w:t>
      </w:r>
      <w:r w:rsidR="002A7EF2" w:rsidRPr="00D806D9">
        <w:rPr>
          <w:rFonts w:asciiTheme="majorBidi" w:hAnsiTheme="majorBidi" w:cstheme="majorBidi"/>
          <w:sz w:val="24"/>
          <w:szCs w:val="24"/>
          <w:lang w:val="en-US"/>
        </w:rPr>
        <w:t>1</w:t>
      </w:r>
    </w:p>
    <w:p w14:paraId="0A5251E0" w14:textId="77777777" w:rsidR="0036407A" w:rsidRPr="00D806D9" w:rsidRDefault="0036407A" w:rsidP="00CB2D8A">
      <w:pPr>
        <w:rPr>
          <w:rFonts w:asciiTheme="majorBidi" w:hAnsiTheme="majorBidi" w:cstheme="majorBidi"/>
          <w:sz w:val="24"/>
          <w:szCs w:val="24"/>
          <w:lang w:val="en-US"/>
        </w:rPr>
      </w:pPr>
    </w:p>
    <w:p w14:paraId="354E4F4C" w14:textId="77777777" w:rsidR="0036407A" w:rsidRPr="00D806D9" w:rsidRDefault="0036407A" w:rsidP="00CB2D8A">
      <w:pPr>
        <w:rPr>
          <w:rFonts w:asciiTheme="majorBidi" w:hAnsiTheme="majorBidi" w:cstheme="majorBidi"/>
          <w:sz w:val="24"/>
          <w:szCs w:val="24"/>
          <w:lang w:val="en-US"/>
        </w:rPr>
      </w:pPr>
    </w:p>
    <w:p w14:paraId="25763839" w14:textId="77777777" w:rsidR="0036407A" w:rsidRPr="00D806D9" w:rsidRDefault="0036407A" w:rsidP="00CB2D8A">
      <w:pPr>
        <w:rPr>
          <w:rFonts w:asciiTheme="majorBidi" w:hAnsiTheme="majorBidi" w:cstheme="majorBidi"/>
          <w:sz w:val="24"/>
          <w:szCs w:val="24"/>
          <w:lang w:val="en-US"/>
        </w:rPr>
      </w:pPr>
    </w:p>
    <w:p w14:paraId="1373EBE0" w14:textId="77777777" w:rsidR="0036407A" w:rsidRPr="00D806D9" w:rsidRDefault="0036407A" w:rsidP="00CB2D8A">
      <w:pPr>
        <w:rPr>
          <w:rFonts w:asciiTheme="majorBidi" w:hAnsiTheme="majorBidi" w:cstheme="majorBidi"/>
          <w:sz w:val="24"/>
          <w:szCs w:val="24"/>
          <w:lang w:val="en-US"/>
        </w:rPr>
      </w:pPr>
    </w:p>
    <w:p w14:paraId="0C3CE9D7" w14:textId="09AC9365" w:rsidR="0036407A" w:rsidRPr="00D806D9" w:rsidRDefault="0036407A" w:rsidP="00CB2D8A">
      <w:pPr>
        <w:rPr>
          <w:rFonts w:asciiTheme="majorBidi" w:hAnsiTheme="majorBidi" w:cstheme="majorBidi"/>
          <w:sz w:val="24"/>
          <w:szCs w:val="24"/>
          <w:lang w:val="en-US"/>
        </w:rPr>
      </w:pPr>
    </w:p>
    <w:p w14:paraId="3C9F4E1A" w14:textId="77777777" w:rsidR="00C83734" w:rsidRPr="00D806D9" w:rsidRDefault="00C83734" w:rsidP="00CB2D8A">
      <w:pPr>
        <w:rPr>
          <w:rFonts w:asciiTheme="majorBidi" w:hAnsiTheme="majorBidi" w:cstheme="majorBidi"/>
          <w:sz w:val="24"/>
          <w:szCs w:val="24"/>
          <w:lang w:val="en-US"/>
        </w:rPr>
      </w:pPr>
    </w:p>
    <w:p w14:paraId="109E90C3" w14:textId="77777777" w:rsidR="0036407A" w:rsidRPr="00D806D9" w:rsidRDefault="0036407A" w:rsidP="00CB2D8A">
      <w:pPr>
        <w:rPr>
          <w:rFonts w:asciiTheme="majorBidi" w:hAnsiTheme="majorBidi" w:cstheme="majorBidi"/>
          <w:sz w:val="24"/>
          <w:szCs w:val="24"/>
          <w:lang w:val="en-US"/>
        </w:rPr>
      </w:pPr>
    </w:p>
    <w:p w14:paraId="3E02AE6B" w14:textId="77777777" w:rsidR="0036407A" w:rsidRPr="00D806D9" w:rsidRDefault="0036407A" w:rsidP="00CB2D8A">
      <w:pPr>
        <w:rPr>
          <w:rFonts w:asciiTheme="majorBidi" w:hAnsiTheme="majorBidi" w:cstheme="majorBidi"/>
          <w:sz w:val="24"/>
          <w:szCs w:val="24"/>
          <w:lang w:val="en-US"/>
        </w:rPr>
      </w:pPr>
    </w:p>
    <w:p w14:paraId="4D7115A7" w14:textId="1E4A3D76" w:rsidR="0068594C" w:rsidRPr="00D806D9" w:rsidRDefault="0068594C" w:rsidP="0068594C">
      <w:pPr>
        <w:jc w:val="center"/>
        <w:rPr>
          <w:rFonts w:asciiTheme="majorBidi" w:hAnsiTheme="majorBidi" w:cstheme="majorBidi"/>
          <w:b/>
          <w:bCs/>
          <w:sz w:val="36"/>
          <w:szCs w:val="36"/>
          <w:lang w:val="en-US"/>
        </w:rPr>
      </w:pPr>
      <w:r w:rsidRPr="00D806D9">
        <w:rPr>
          <w:rFonts w:asciiTheme="majorBidi" w:hAnsiTheme="majorBidi" w:cstheme="majorBidi"/>
          <w:b/>
          <w:bCs/>
          <w:sz w:val="36"/>
          <w:szCs w:val="36"/>
          <w:lang w:val="en-US"/>
        </w:rPr>
        <w:lastRenderedPageBreak/>
        <w:t xml:space="preserve">Acronyms </w:t>
      </w:r>
      <w:r w:rsidR="009B42AC" w:rsidRPr="00D806D9">
        <w:rPr>
          <w:rFonts w:asciiTheme="majorBidi" w:hAnsiTheme="majorBidi" w:cstheme="majorBidi"/>
          <w:b/>
          <w:bCs/>
          <w:sz w:val="36"/>
          <w:szCs w:val="36"/>
          <w:lang w:val="en-US"/>
        </w:rPr>
        <w:t>List</w:t>
      </w:r>
    </w:p>
    <w:p w14:paraId="0AACBE14" w14:textId="3F32D365" w:rsidR="0068594C" w:rsidRPr="00D806D9" w:rsidRDefault="0068594C" w:rsidP="00CB2D8A">
      <w:pPr>
        <w:rPr>
          <w:rFonts w:asciiTheme="majorBidi" w:hAnsiTheme="majorBidi" w:cstheme="majorBidi"/>
          <w:sz w:val="24"/>
          <w:szCs w:val="24"/>
          <w:lang w:val="en-US"/>
        </w:rPr>
      </w:pPr>
    </w:p>
    <w:p w14:paraId="49606C08" w14:textId="77777777" w:rsidR="00860F12" w:rsidRPr="00D806D9" w:rsidRDefault="00860F12" w:rsidP="00431B75">
      <w:pPr>
        <w:rPr>
          <w:rFonts w:asciiTheme="majorBidi" w:hAnsiTheme="majorBidi" w:cstheme="majorBidi"/>
          <w:sz w:val="24"/>
          <w:szCs w:val="24"/>
          <w:lang w:val="en-US"/>
        </w:rPr>
      </w:pPr>
      <w:r w:rsidRPr="00D806D9">
        <w:rPr>
          <w:rFonts w:asciiTheme="majorBidi" w:hAnsiTheme="majorBidi" w:cstheme="majorBidi"/>
          <w:sz w:val="24"/>
          <w:szCs w:val="24"/>
          <w:lang w:val="en-US"/>
        </w:rPr>
        <w:t>CBAM:</w:t>
      </w:r>
      <w:r w:rsidRPr="00D806D9">
        <w:rPr>
          <w:rFonts w:asciiTheme="majorBidi" w:hAnsiTheme="majorBidi" w:cstheme="majorBidi"/>
          <w:sz w:val="24"/>
          <w:szCs w:val="24"/>
          <w:lang w:val="en-US"/>
        </w:rPr>
        <w:tab/>
        <w:t>Carbon Border Adjustment Mechanism</w:t>
      </w:r>
    </w:p>
    <w:p w14:paraId="131D3C4F"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CCfD: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Carbon Contracts for Difference</w:t>
      </w:r>
    </w:p>
    <w:p w14:paraId="639F6E86"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CCS: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Carbon Capture and Storage</w:t>
      </w:r>
    </w:p>
    <w:p w14:paraId="766003FC"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CCUS: </w:t>
      </w:r>
      <w:r w:rsidRPr="00D806D9">
        <w:rPr>
          <w:rFonts w:asciiTheme="majorBidi" w:hAnsiTheme="majorBidi" w:cstheme="majorBidi"/>
          <w:sz w:val="24"/>
          <w:szCs w:val="24"/>
          <w:lang w:val="en-US"/>
        </w:rPr>
        <w:tab/>
        <w:t>Carbon Capture Utilization and Storage</w:t>
      </w:r>
    </w:p>
    <w:p w14:paraId="5C85DDAC" w14:textId="77777777" w:rsidR="00860F12" w:rsidRPr="00D806D9" w:rsidRDefault="00860F12" w:rsidP="00863FEF">
      <w:pPr>
        <w:rPr>
          <w:rFonts w:asciiTheme="majorBidi" w:hAnsiTheme="majorBidi" w:cstheme="majorBidi"/>
          <w:sz w:val="24"/>
          <w:szCs w:val="24"/>
          <w:lang w:val="en-US"/>
        </w:rPr>
      </w:pPr>
      <w:r w:rsidRPr="00D806D9">
        <w:rPr>
          <w:rFonts w:asciiTheme="majorBidi" w:hAnsiTheme="majorBidi" w:cstheme="majorBidi"/>
          <w:sz w:val="24"/>
          <w:szCs w:val="24"/>
          <w:lang w:val="en-US"/>
        </w:rPr>
        <w:t>CFMP:</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Climate Friendly Materials Platform</w:t>
      </w:r>
    </w:p>
    <w:p w14:paraId="1695E488"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CO</w:t>
      </w:r>
      <w:r w:rsidRPr="00D806D9">
        <w:rPr>
          <w:rFonts w:asciiTheme="majorBidi" w:hAnsiTheme="majorBidi" w:cstheme="majorBidi"/>
          <w:sz w:val="24"/>
          <w:szCs w:val="24"/>
          <w:vertAlign w:val="subscript"/>
          <w:lang w:val="en-US"/>
        </w:rPr>
        <w:t>2</w:t>
      </w:r>
      <w:r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Carbon Dioxide</w:t>
      </w:r>
    </w:p>
    <w:p w14:paraId="0F6CEF1B" w14:textId="77777777" w:rsidR="00860F12" w:rsidRPr="00D806D9" w:rsidRDefault="00860F12" w:rsidP="002872EB">
      <w:pPr>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CO2-eq:</w:t>
      </w:r>
      <w:r w:rsidRPr="00D806D9">
        <w:rPr>
          <w:rFonts w:asciiTheme="majorBidi" w:eastAsia="Times New Roman" w:hAnsiTheme="majorBidi" w:cstheme="majorBidi"/>
          <w:color w:val="000000"/>
          <w:sz w:val="24"/>
          <w:szCs w:val="24"/>
          <w:lang w:val="en-US" w:eastAsia="fr-FR" w:bidi="he-IL"/>
        </w:rPr>
        <w:tab/>
      </w:r>
      <w:r w:rsidRPr="00D806D9">
        <w:rPr>
          <w:rFonts w:asciiTheme="majorBidi" w:hAnsiTheme="majorBidi" w:cstheme="majorBidi"/>
          <w:sz w:val="24"/>
          <w:szCs w:val="24"/>
          <w:lang w:val="en-US"/>
        </w:rPr>
        <w:t>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equivalent</w:t>
      </w:r>
    </w:p>
    <w:p w14:paraId="611D8D0A" w14:textId="77777777" w:rsidR="00860F12" w:rsidRPr="00D806D9" w:rsidRDefault="00860F12" w:rsidP="00737659">
      <w:pPr>
        <w:ind w:left="1410" w:hanging="1410"/>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DERA:</w:t>
      </w:r>
      <w:r w:rsidRPr="00D806D9">
        <w:rPr>
          <w:rFonts w:asciiTheme="majorBidi" w:eastAsia="Times New Roman" w:hAnsiTheme="majorBidi" w:cstheme="majorBidi"/>
          <w:color w:val="000000"/>
          <w:sz w:val="24"/>
          <w:szCs w:val="24"/>
          <w:lang w:val="en-US" w:eastAsia="fr-FR" w:bidi="he-IL"/>
        </w:rPr>
        <w:tab/>
        <w:t xml:space="preserve">German for </w:t>
      </w:r>
      <w:r w:rsidRPr="00D806D9">
        <w:rPr>
          <w:rFonts w:asciiTheme="majorBidi" w:eastAsia="Times New Roman" w:hAnsiTheme="majorBidi" w:cstheme="majorBidi"/>
          <w:i/>
          <w:iCs/>
          <w:color w:val="000000"/>
          <w:sz w:val="24"/>
          <w:szCs w:val="24"/>
          <w:lang w:val="en-US" w:eastAsia="fr-FR" w:bidi="he-IL"/>
        </w:rPr>
        <w:t xml:space="preserve">Deutsche </w:t>
      </w:r>
      <w:proofErr w:type="spellStart"/>
      <w:r w:rsidRPr="00D806D9">
        <w:rPr>
          <w:rFonts w:asciiTheme="majorBidi" w:eastAsia="Times New Roman" w:hAnsiTheme="majorBidi" w:cstheme="majorBidi"/>
          <w:i/>
          <w:iCs/>
          <w:color w:val="000000"/>
          <w:sz w:val="24"/>
          <w:szCs w:val="24"/>
          <w:lang w:val="en-US" w:eastAsia="fr-FR" w:bidi="he-IL"/>
        </w:rPr>
        <w:t>Rohstoffagentur</w:t>
      </w:r>
      <w:proofErr w:type="spellEnd"/>
      <w:r w:rsidRPr="00D806D9">
        <w:rPr>
          <w:rFonts w:asciiTheme="majorBidi" w:eastAsia="Times New Roman" w:hAnsiTheme="majorBidi" w:cstheme="majorBidi"/>
          <w:color w:val="000000"/>
          <w:sz w:val="24"/>
          <w:szCs w:val="24"/>
          <w:lang w:val="en-US" w:eastAsia="fr-FR" w:bidi="he-IL"/>
        </w:rPr>
        <w:t>, Mineral Resources Agency from the Federal Institute for Geosciences and Natural Resources (</w:t>
      </w:r>
      <w:proofErr w:type="spellStart"/>
      <w:r w:rsidRPr="00D806D9">
        <w:rPr>
          <w:rFonts w:asciiTheme="majorBidi" w:eastAsia="Times New Roman" w:hAnsiTheme="majorBidi" w:cstheme="majorBidi"/>
          <w:i/>
          <w:iCs/>
          <w:color w:val="000000"/>
          <w:sz w:val="24"/>
          <w:szCs w:val="24"/>
          <w:lang w:val="en-US" w:eastAsia="fr-FR" w:bidi="he-IL"/>
        </w:rPr>
        <w:t>Bundesanstalt</w:t>
      </w:r>
      <w:proofErr w:type="spellEnd"/>
      <w:r w:rsidRPr="00D806D9">
        <w:rPr>
          <w:rFonts w:asciiTheme="majorBidi" w:eastAsia="Times New Roman" w:hAnsiTheme="majorBidi" w:cstheme="majorBidi"/>
          <w:i/>
          <w:iCs/>
          <w:color w:val="000000"/>
          <w:sz w:val="24"/>
          <w:szCs w:val="24"/>
          <w:lang w:val="en-US" w:eastAsia="fr-FR" w:bidi="he-IL"/>
        </w:rPr>
        <w:t xml:space="preserve"> für </w:t>
      </w:r>
      <w:proofErr w:type="spellStart"/>
      <w:r w:rsidRPr="00D806D9">
        <w:rPr>
          <w:rFonts w:asciiTheme="majorBidi" w:eastAsia="Times New Roman" w:hAnsiTheme="majorBidi" w:cstheme="majorBidi"/>
          <w:i/>
          <w:iCs/>
          <w:color w:val="000000"/>
          <w:sz w:val="24"/>
          <w:szCs w:val="24"/>
          <w:lang w:val="en-US" w:eastAsia="fr-FR" w:bidi="he-IL"/>
        </w:rPr>
        <w:t>Geowissenschaften</w:t>
      </w:r>
      <w:proofErr w:type="spellEnd"/>
      <w:r w:rsidRPr="00D806D9">
        <w:rPr>
          <w:rFonts w:asciiTheme="majorBidi" w:eastAsia="Times New Roman" w:hAnsiTheme="majorBidi" w:cstheme="majorBidi"/>
          <w:i/>
          <w:iCs/>
          <w:color w:val="000000"/>
          <w:sz w:val="24"/>
          <w:szCs w:val="24"/>
          <w:lang w:val="en-US" w:eastAsia="fr-FR" w:bidi="he-IL"/>
        </w:rPr>
        <w:t xml:space="preserve"> und</w:t>
      </w:r>
      <w:r w:rsidRPr="00D806D9">
        <w:rPr>
          <w:rFonts w:asciiTheme="majorBidi" w:eastAsia="Times New Roman" w:hAnsiTheme="majorBidi" w:cstheme="majorBidi"/>
          <w:color w:val="000000"/>
          <w:sz w:val="24"/>
          <w:szCs w:val="24"/>
          <w:lang w:val="en-US" w:eastAsia="fr-FR" w:bidi="he-IL"/>
        </w:rPr>
        <w:t xml:space="preserve"> </w:t>
      </w:r>
      <w:proofErr w:type="spellStart"/>
      <w:r w:rsidRPr="00D806D9">
        <w:rPr>
          <w:rFonts w:asciiTheme="majorBidi" w:eastAsia="Times New Roman" w:hAnsiTheme="majorBidi" w:cstheme="majorBidi"/>
          <w:i/>
          <w:iCs/>
          <w:color w:val="000000"/>
          <w:sz w:val="24"/>
          <w:szCs w:val="24"/>
          <w:lang w:val="en-US" w:eastAsia="fr-FR" w:bidi="he-IL"/>
        </w:rPr>
        <w:t>Rohstoffe</w:t>
      </w:r>
      <w:proofErr w:type="spellEnd"/>
      <w:r w:rsidRPr="00D806D9">
        <w:rPr>
          <w:rFonts w:asciiTheme="majorBidi" w:eastAsia="Times New Roman" w:hAnsiTheme="majorBidi" w:cstheme="majorBidi"/>
          <w:color w:val="000000"/>
          <w:sz w:val="24"/>
          <w:szCs w:val="24"/>
          <w:lang w:val="en-US" w:eastAsia="fr-FR" w:bidi="he-IL"/>
        </w:rPr>
        <w:t xml:space="preserve"> - BGR)</w:t>
      </w:r>
    </w:p>
    <w:p w14:paraId="45B8953F" w14:textId="77777777" w:rsidR="00860F12" w:rsidRPr="00D806D9" w:rsidRDefault="00860F12" w:rsidP="00737659">
      <w:pPr>
        <w:ind w:left="1410" w:hanging="1410"/>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EBRD:</w:t>
      </w:r>
      <w:r w:rsidRPr="00D806D9">
        <w:rPr>
          <w:rFonts w:asciiTheme="majorBidi" w:eastAsia="Times New Roman" w:hAnsiTheme="majorBidi" w:cstheme="majorBidi"/>
          <w:color w:val="000000"/>
          <w:sz w:val="24"/>
          <w:szCs w:val="24"/>
          <w:lang w:val="en-US" w:eastAsia="fr-FR" w:bidi="he-IL"/>
        </w:rPr>
        <w:tab/>
        <w:t>European Bank for Reconstruction and Development</w:t>
      </w:r>
    </w:p>
    <w:p w14:paraId="554258D8"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EC: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European Commission</w:t>
      </w:r>
    </w:p>
    <w:p w14:paraId="6D5730D4" w14:textId="77777777" w:rsidR="00860F12" w:rsidRPr="00D806D9" w:rsidRDefault="00860F12" w:rsidP="00C26CE7">
      <w:pPr>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EEA:</w:t>
      </w:r>
      <w:r w:rsidRPr="00D806D9">
        <w:rPr>
          <w:rFonts w:asciiTheme="majorBidi" w:eastAsia="Times New Roman" w:hAnsiTheme="majorBidi" w:cstheme="majorBidi"/>
          <w:color w:val="000000"/>
          <w:sz w:val="24"/>
          <w:szCs w:val="24"/>
          <w:lang w:val="en-US" w:eastAsia="fr-FR" w:bidi="he-IL"/>
        </w:rPr>
        <w:tab/>
      </w:r>
      <w:r w:rsidRPr="00D806D9">
        <w:rPr>
          <w:rFonts w:asciiTheme="majorBidi" w:eastAsia="Times New Roman" w:hAnsiTheme="majorBidi" w:cstheme="majorBidi"/>
          <w:color w:val="000000"/>
          <w:sz w:val="24"/>
          <w:szCs w:val="24"/>
          <w:lang w:val="en-US" w:eastAsia="fr-FR" w:bidi="he-IL"/>
        </w:rPr>
        <w:tab/>
        <w:t>European Environmental Agency</w:t>
      </w:r>
    </w:p>
    <w:p w14:paraId="44F93777"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EPC:</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European Parliament and Council of the European Union</w:t>
      </w:r>
    </w:p>
    <w:p w14:paraId="27D1B336"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ETS: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Emission Trading Scheme</w:t>
      </w:r>
    </w:p>
    <w:p w14:paraId="32D4F66F"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EU: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European Union</w:t>
      </w:r>
    </w:p>
    <w:p w14:paraId="2EFED5AB"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EUA: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European Union Allowances</w:t>
      </w:r>
    </w:p>
    <w:p w14:paraId="0157D6B1"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EU-ETS: </w:t>
      </w:r>
      <w:r w:rsidRPr="00D806D9">
        <w:rPr>
          <w:rFonts w:asciiTheme="majorBidi" w:hAnsiTheme="majorBidi" w:cstheme="majorBidi"/>
          <w:sz w:val="24"/>
          <w:szCs w:val="24"/>
          <w:lang w:val="en-US"/>
        </w:rPr>
        <w:tab/>
        <w:t>European Union Emission Trading Scheme</w:t>
      </w:r>
    </w:p>
    <w:p w14:paraId="21D4086A"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GDP: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Gross Domestic Product</w:t>
      </w:r>
    </w:p>
    <w:p w14:paraId="5E538241" w14:textId="77777777" w:rsidR="00860F12" w:rsidRPr="00D806D9" w:rsidRDefault="00860F12" w:rsidP="00CB2D8A">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GHG: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Greenhouse Gas</w:t>
      </w:r>
    </w:p>
    <w:p w14:paraId="44B8E259" w14:textId="77777777" w:rsidR="00860F12" w:rsidRPr="00D806D9" w:rsidRDefault="00860F12" w:rsidP="005E4430">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GHGE: </w:t>
      </w:r>
      <w:r w:rsidRPr="00D806D9">
        <w:rPr>
          <w:rFonts w:asciiTheme="majorBidi" w:hAnsiTheme="majorBidi" w:cstheme="majorBidi"/>
          <w:sz w:val="24"/>
          <w:szCs w:val="24"/>
          <w:lang w:val="en-US"/>
        </w:rPr>
        <w:tab/>
        <w:t>Greenhouse Gas Emissions</w:t>
      </w:r>
    </w:p>
    <w:p w14:paraId="03D053B1" w14:textId="77777777" w:rsidR="00860F12" w:rsidRPr="00D806D9" w:rsidRDefault="00860F12" w:rsidP="005E4430">
      <w:pPr>
        <w:rPr>
          <w:rFonts w:asciiTheme="majorBidi" w:hAnsiTheme="majorBidi" w:cstheme="majorBidi"/>
          <w:sz w:val="24"/>
          <w:szCs w:val="24"/>
          <w:lang w:val="en-US"/>
        </w:rPr>
      </w:pPr>
      <w:r w:rsidRPr="00D806D9">
        <w:rPr>
          <w:rFonts w:asciiTheme="majorBidi" w:hAnsiTheme="majorBidi" w:cstheme="majorBidi"/>
          <w:sz w:val="24"/>
          <w:szCs w:val="24"/>
          <w:lang w:val="en-US"/>
        </w:rPr>
        <w:t>Gt:</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Gigatons</w:t>
      </w:r>
      <w:r w:rsidRPr="00D806D9">
        <w:rPr>
          <w:rFonts w:asciiTheme="majorBidi" w:hAnsiTheme="majorBidi" w:cstheme="majorBidi"/>
          <w:sz w:val="24"/>
          <w:szCs w:val="24"/>
          <w:lang w:val="en-US"/>
        </w:rPr>
        <w:tab/>
      </w:r>
    </w:p>
    <w:p w14:paraId="6A275B3B"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IEA: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International Energy Agency</w:t>
      </w:r>
    </w:p>
    <w:p w14:paraId="02E3CD8A" w14:textId="77777777" w:rsidR="00860F12" w:rsidRPr="00D806D9" w:rsidRDefault="00860F12" w:rsidP="00863FEF">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IF: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Innovation Fund</w:t>
      </w:r>
    </w:p>
    <w:p w14:paraId="7850D835" w14:textId="77777777" w:rsidR="00860F12" w:rsidRPr="00D806D9" w:rsidRDefault="00860F12" w:rsidP="00021CD4">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IO: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International Organization</w:t>
      </w:r>
    </w:p>
    <w:p w14:paraId="5083687C"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IPCC: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Intergovernmental Panel on Climate Change</w:t>
      </w:r>
    </w:p>
    <w:p w14:paraId="5C4C37EF"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IPE: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International Political Economy</w:t>
      </w:r>
    </w:p>
    <w:p w14:paraId="730AB253"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L&amp;E: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Law and Economics</w:t>
      </w:r>
    </w:p>
    <w:p w14:paraId="7C680692" w14:textId="77777777" w:rsidR="00860F12" w:rsidRPr="00D806D9" w:rsidRDefault="00860F12" w:rsidP="00C26CE7">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LCH: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Low-Carbon Hydrogen</w:t>
      </w:r>
    </w:p>
    <w:p w14:paraId="3DD108F3"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lastRenderedPageBreak/>
        <w:t xml:space="preserve">LOHC: </w:t>
      </w:r>
      <w:r w:rsidRPr="00D806D9">
        <w:rPr>
          <w:rFonts w:asciiTheme="majorBidi" w:hAnsiTheme="majorBidi" w:cstheme="majorBidi"/>
          <w:sz w:val="24"/>
          <w:szCs w:val="24"/>
          <w:lang w:val="en-US"/>
        </w:rPr>
        <w:tab/>
        <w:t>Liquid Organic Hydrogen Carriers</w:t>
      </w:r>
    </w:p>
    <w:p w14:paraId="17511A23" w14:textId="77777777" w:rsidR="00860F12" w:rsidRPr="00D806D9" w:rsidRDefault="00860F12" w:rsidP="00413413">
      <w:pPr>
        <w:rPr>
          <w:rFonts w:asciiTheme="majorBidi" w:eastAsia="Times New Roman" w:hAnsiTheme="majorBidi" w:cstheme="majorBidi"/>
          <w:color w:val="000000"/>
          <w:sz w:val="24"/>
          <w:szCs w:val="24"/>
          <w:lang w:val="en-US" w:eastAsia="fr-FR" w:bidi="he-IL"/>
        </w:rPr>
      </w:pPr>
      <w:r w:rsidRPr="00D806D9">
        <w:rPr>
          <w:rFonts w:asciiTheme="majorBidi" w:hAnsiTheme="majorBidi" w:cstheme="majorBidi"/>
          <w:sz w:val="24"/>
          <w:szCs w:val="24"/>
          <w:lang w:val="en-US"/>
        </w:rPr>
        <w:t>MAC:</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M</w:t>
      </w:r>
      <w:r w:rsidRPr="00D806D9">
        <w:rPr>
          <w:rFonts w:asciiTheme="majorBidi" w:eastAsia="Times New Roman" w:hAnsiTheme="majorBidi" w:cstheme="majorBidi"/>
          <w:color w:val="000000"/>
          <w:sz w:val="24"/>
          <w:szCs w:val="24"/>
          <w:lang w:val="en-US" w:eastAsia="fr-FR" w:bidi="he-IL"/>
        </w:rPr>
        <w:t>arginal Abatement Costs</w:t>
      </w:r>
    </w:p>
    <w:p w14:paraId="1D646B9C" w14:textId="77777777" w:rsidR="00860F12" w:rsidRPr="00D806D9" w:rsidRDefault="00860F12" w:rsidP="00413413">
      <w:pPr>
        <w:rPr>
          <w:rFonts w:asciiTheme="majorBidi" w:hAnsiTheme="majorBidi" w:cstheme="majorBidi"/>
          <w:sz w:val="24"/>
          <w:szCs w:val="24"/>
          <w:lang w:val="en-US"/>
        </w:rPr>
      </w:pPr>
      <w:r w:rsidRPr="00D806D9">
        <w:rPr>
          <w:rFonts w:asciiTheme="majorBidi" w:eastAsia="Times New Roman" w:hAnsiTheme="majorBidi" w:cstheme="majorBidi"/>
          <w:color w:val="000000"/>
          <w:sz w:val="24"/>
          <w:szCs w:val="24"/>
          <w:lang w:val="en-US" w:eastAsia="fr-FR" w:bidi="he-IL"/>
        </w:rPr>
        <w:t>MS:</w:t>
      </w:r>
      <w:r w:rsidRPr="00D806D9">
        <w:rPr>
          <w:rFonts w:asciiTheme="majorBidi" w:eastAsia="Times New Roman" w:hAnsiTheme="majorBidi" w:cstheme="majorBidi"/>
          <w:color w:val="000000"/>
          <w:sz w:val="24"/>
          <w:szCs w:val="24"/>
          <w:lang w:val="en-US" w:eastAsia="fr-FR" w:bidi="he-IL"/>
        </w:rPr>
        <w:tab/>
      </w:r>
      <w:r w:rsidRPr="00D806D9">
        <w:rPr>
          <w:rFonts w:asciiTheme="majorBidi" w:eastAsia="Times New Roman" w:hAnsiTheme="majorBidi" w:cstheme="majorBidi"/>
          <w:color w:val="000000"/>
          <w:sz w:val="24"/>
          <w:szCs w:val="24"/>
          <w:lang w:val="en-US" w:eastAsia="fr-FR" w:bidi="he-IL"/>
        </w:rPr>
        <w:tab/>
        <w:t>Member States</w:t>
      </w:r>
    </w:p>
    <w:p w14:paraId="308110AC" w14:textId="77777777" w:rsidR="00860F12" w:rsidRPr="00D806D9" w:rsidRDefault="00860F12" w:rsidP="00431B75">
      <w:pPr>
        <w:rPr>
          <w:rFonts w:asciiTheme="majorBidi" w:hAnsiTheme="majorBidi" w:cstheme="majorBidi"/>
          <w:sz w:val="24"/>
          <w:szCs w:val="24"/>
          <w:lang w:val="en-US"/>
        </w:rPr>
      </w:pPr>
      <w:r w:rsidRPr="00D806D9">
        <w:rPr>
          <w:rFonts w:asciiTheme="majorBidi" w:hAnsiTheme="majorBidi" w:cstheme="majorBidi"/>
          <w:sz w:val="24"/>
          <w:szCs w:val="24"/>
          <w:lang w:val="en-US"/>
        </w:rPr>
        <w:t>MSR:</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Market Stability Reserve</w:t>
      </w:r>
    </w:p>
    <w:p w14:paraId="62695785" w14:textId="77777777" w:rsidR="00860F12" w:rsidRPr="00D806D9" w:rsidRDefault="00860F12" w:rsidP="00021CD4">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Mt: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Million Tons</w:t>
      </w:r>
    </w:p>
    <w:p w14:paraId="7E4F7CA1" w14:textId="77777777" w:rsidR="00860F12" w:rsidRPr="00D806D9" w:rsidRDefault="00860F12" w:rsidP="00811030">
      <w:pPr>
        <w:rPr>
          <w:rFonts w:asciiTheme="majorBidi" w:hAnsiTheme="majorBidi" w:cstheme="majorBidi"/>
          <w:sz w:val="24"/>
          <w:szCs w:val="24"/>
          <w:lang w:val="en-US"/>
        </w:rPr>
      </w:pPr>
      <w:r w:rsidRPr="00D806D9">
        <w:rPr>
          <w:rFonts w:asciiTheme="majorBidi" w:hAnsiTheme="majorBidi" w:cstheme="majorBidi"/>
          <w:sz w:val="24"/>
          <w:szCs w:val="24"/>
          <w:lang w:val="en-US"/>
        </w:rPr>
        <w:t>MW:</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Mega Watts</w:t>
      </w:r>
    </w:p>
    <w:p w14:paraId="4A6D1B3B" w14:textId="77777777" w:rsidR="00860F12" w:rsidRPr="00D806D9" w:rsidRDefault="00860F12" w:rsidP="00431B75">
      <w:pPr>
        <w:rPr>
          <w:rFonts w:asciiTheme="majorBidi" w:hAnsiTheme="majorBidi" w:cstheme="majorBidi"/>
          <w:sz w:val="24"/>
          <w:szCs w:val="24"/>
          <w:lang w:val="en-US"/>
        </w:rPr>
      </w:pPr>
      <w:bookmarkStart w:id="0" w:name="_Hlk110348852"/>
      <w:r w:rsidRPr="00D806D9">
        <w:rPr>
          <w:rFonts w:asciiTheme="majorBidi" w:hAnsiTheme="majorBidi" w:cstheme="majorBidi"/>
          <w:sz w:val="24"/>
          <w:szCs w:val="24"/>
          <w:lang w:val="en-US"/>
        </w:rPr>
        <w:t>N</w:t>
      </w:r>
      <w:r w:rsidRPr="00D806D9">
        <w:rPr>
          <w:rFonts w:asciiTheme="majorBidi" w:hAnsiTheme="majorBidi" w:cstheme="majorBidi"/>
          <w:sz w:val="24"/>
          <w:szCs w:val="24"/>
          <w:vertAlign w:val="subscript"/>
          <w:lang w:val="en-US"/>
        </w:rPr>
        <w:t>2</w:t>
      </w:r>
      <w:r w:rsidRPr="00D806D9">
        <w:rPr>
          <w:rFonts w:asciiTheme="majorBidi" w:hAnsiTheme="majorBidi" w:cstheme="majorBidi"/>
          <w:sz w:val="24"/>
          <w:szCs w:val="24"/>
          <w:lang w:val="en-US"/>
        </w:rPr>
        <w:t>O</w:t>
      </w:r>
      <w:bookmarkEnd w:id="0"/>
      <w:r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Nitrous Oxide</w:t>
      </w:r>
    </w:p>
    <w:p w14:paraId="56BA9241"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OECD: </w:t>
      </w:r>
      <w:r w:rsidRPr="00D806D9">
        <w:rPr>
          <w:rFonts w:asciiTheme="majorBidi" w:hAnsiTheme="majorBidi" w:cstheme="majorBidi"/>
          <w:sz w:val="24"/>
          <w:szCs w:val="24"/>
          <w:lang w:val="en-US"/>
        </w:rPr>
        <w:tab/>
        <w:t>Organization for Economic Co-operation and Development</w:t>
      </w:r>
    </w:p>
    <w:p w14:paraId="4E89B010" w14:textId="77777777" w:rsidR="00860F12" w:rsidRPr="00D806D9" w:rsidRDefault="00860F12" w:rsidP="00213B58">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OoM: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Order of Magnitude</w:t>
      </w:r>
    </w:p>
    <w:p w14:paraId="13343799" w14:textId="77777777" w:rsidR="00860F12" w:rsidRPr="00D806D9" w:rsidRDefault="00860F12" w:rsidP="00811030">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PA: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Paris Agreement</w:t>
      </w:r>
    </w:p>
    <w:p w14:paraId="55459DA1" w14:textId="77777777" w:rsidR="00860F12" w:rsidRPr="00D806D9" w:rsidRDefault="00860F12" w:rsidP="00431B75">
      <w:pPr>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PCT:</w:t>
      </w:r>
      <w:r w:rsidRPr="00D806D9">
        <w:rPr>
          <w:rFonts w:asciiTheme="majorBidi" w:eastAsia="Times New Roman" w:hAnsiTheme="majorBidi" w:cstheme="majorBidi"/>
          <w:color w:val="000000"/>
          <w:sz w:val="24"/>
          <w:szCs w:val="24"/>
          <w:lang w:val="en-US" w:eastAsia="fr-FR" w:bidi="he-IL"/>
        </w:rPr>
        <w:tab/>
      </w:r>
      <w:r w:rsidRPr="00D806D9">
        <w:rPr>
          <w:rFonts w:asciiTheme="majorBidi" w:eastAsia="Times New Roman" w:hAnsiTheme="majorBidi" w:cstheme="majorBidi"/>
          <w:color w:val="000000"/>
          <w:sz w:val="24"/>
          <w:szCs w:val="24"/>
          <w:lang w:val="en-US" w:eastAsia="fr-FR" w:bidi="he-IL"/>
        </w:rPr>
        <w:tab/>
        <w:t>Public Choice Theory</w:t>
      </w:r>
    </w:p>
    <w:p w14:paraId="6ABD1A67" w14:textId="77777777" w:rsidR="00860F12" w:rsidRPr="00D806D9" w:rsidRDefault="00860F12" w:rsidP="00431B75">
      <w:pPr>
        <w:rPr>
          <w:rFonts w:asciiTheme="majorBidi" w:hAnsiTheme="majorBidi" w:cstheme="majorBidi"/>
          <w:sz w:val="24"/>
          <w:szCs w:val="24"/>
          <w:lang w:val="en-US"/>
        </w:rPr>
      </w:pPr>
      <w:r w:rsidRPr="00D806D9">
        <w:rPr>
          <w:rFonts w:asciiTheme="majorBidi" w:hAnsiTheme="majorBidi" w:cstheme="majorBidi"/>
          <w:sz w:val="24"/>
          <w:szCs w:val="24"/>
          <w:lang w:val="en-US"/>
        </w:rPr>
        <w:t>PFC:</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Perfluorocarbon</w:t>
      </w:r>
    </w:p>
    <w:p w14:paraId="73AAD75A" w14:textId="77777777" w:rsidR="00860F12" w:rsidRPr="00D806D9" w:rsidRDefault="00860F12" w:rsidP="00413413">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R&amp;D: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Research and Development</w:t>
      </w:r>
    </w:p>
    <w:p w14:paraId="7C149426" w14:textId="77777777" w:rsidR="00860F12" w:rsidRPr="00D806D9" w:rsidRDefault="00860F12" w:rsidP="007D141C">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SMR: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Steam Methane Reforming</w:t>
      </w:r>
    </w:p>
    <w:p w14:paraId="3C846AC5" w14:textId="77777777" w:rsidR="00860F12" w:rsidRPr="00D806D9" w:rsidRDefault="00860F12" w:rsidP="00021CD4">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TC: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Thermochemical conversion</w:t>
      </w:r>
    </w:p>
    <w:p w14:paraId="3F00CFDF" w14:textId="77777777" w:rsidR="00860F12" w:rsidRPr="00D806D9" w:rsidRDefault="00860F12" w:rsidP="00021CD4">
      <w:pPr>
        <w:rPr>
          <w:rFonts w:asciiTheme="majorBidi" w:hAnsiTheme="majorBidi" w:cstheme="majorBidi"/>
          <w:sz w:val="24"/>
          <w:szCs w:val="24"/>
          <w:lang w:val="en-US"/>
        </w:rPr>
      </w:pPr>
      <w:r w:rsidRPr="00D806D9">
        <w:rPr>
          <w:rFonts w:asciiTheme="majorBidi" w:hAnsiTheme="majorBidi" w:cstheme="majorBidi"/>
          <w:sz w:val="24"/>
          <w:szCs w:val="24"/>
          <w:lang w:val="en-US"/>
        </w:rPr>
        <w:t>tCO</w:t>
      </w:r>
      <w:r w:rsidRPr="00D806D9">
        <w:rPr>
          <w:rFonts w:asciiTheme="majorBidi" w:hAnsiTheme="majorBidi" w:cstheme="majorBidi"/>
          <w:sz w:val="24"/>
          <w:szCs w:val="24"/>
          <w:vertAlign w:val="subscript"/>
          <w:lang w:val="en-US"/>
        </w:rPr>
        <w:t>2</w:t>
      </w:r>
      <w:r w:rsidRPr="00D806D9">
        <w:rPr>
          <w:rFonts w:asciiTheme="majorBidi" w:hAnsiTheme="majorBidi" w:cstheme="majorBidi"/>
          <w:sz w:val="24"/>
          <w:szCs w:val="24"/>
          <w:lang w:val="en-US"/>
        </w:rPr>
        <w:t xml:space="preserve">/year: </w:t>
      </w:r>
      <w:r w:rsidRPr="00D806D9">
        <w:rPr>
          <w:rFonts w:asciiTheme="majorBidi" w:hAnsiTheme="majorBidi" w:cstheme="majorBidi"/>
          <w:sz w:val="24"/>
          <w:szCs w:val="24"/>
          <w:lang w:val="en-US"/>
        </w:rPr>
        <w:tab/>
        <w:t>Tons of Carbon Dioxide per Year</w:t>
      </w:r>
    </w:p>
    <w:p w14:paraId="1D3382B8" w14:textId="77777777" w:rsidR="00860F12" w:rsidRPr="00D806D9" w:rsidRDefault="00860F12" w:rsidP="00811030">
      <w:pPr>
        <w:rPr>
          <w:rFonts w:asciiTheme="majorBidi" w:hAnsiTheme="majorBidi" w:cstheme="majorBidi"/>
          <w:sz w:val="24"/>
          <w:szCs w:val="24"/>
          <w:lang w:val="en-US"/>
        </w:rPr>
      </w:pPr>
      <w:r w:rsidRPr="00D806D9">
        <w:rPr>
          <w:rFonts w:asciiTheme="majorBidi" w:hAnsiTheme="majorBidi" w:cstheme="majorBidi"/>
          <w:sz w:val="24"/>
          <w:szCs w:val="24"/>
          <w:lang w:val="en-US"/>
        </w:rPr>
        <w:t>TWh:</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Tetra Watts per Hour</w:t>
      </w:r>
    </w:p>
    <w:p w14:paraId="5C2A851D" w14:textId="77777777" w:rsidR="00860F12" w:rsidRPr="00D806D9" w:rsidRDefault="00860F12" w:rsidP="00021CD4">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UNECE: </w:t>
      </w:r>
      <w:r w:rsidRPr="00D806D9">
        <w:rPr>
          <w:rFonts w:asciiTheme="majorBidi" w:hAnsiTheme="majorBidi" w:cstheme="majorBidi"/>
          <w:sz w:val="24"/>
          <w:szCs w:val="24"/>
          <w:lang w:val="en-US"/>
        </w:rPr>
        <w:tab/>
        <w:t>United Nations Economic Commission for Europe</w:t>
      </w:r>
    </w:p>
    <w:p w14:paraId="6641932F" w14:textId="77777777" w:rsidR="00860F12" w:rsidRPr="00D806D9" w:rsidRDefault="00860F12" w:rsidP="00021CD4">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UNPE: </w:t>
      </w:r>
      <w:r w:rsidRPr="00D806D9">
        <w:rPr>
          <w:rFonts w:asciiTheme="majorBidi" w:hAnsiTheme="majorBidi" w:cstheme="majorBidi"/>
          <w:sz w:val="24"/>
          <w:szCs w:val="24"/>
          <w:lang w:val="en-US"/>
        </w:rPr>
        <w:tab/>
        <w:t>United Nations Environment Program</w:t>
      </w:r>
    </w:p>
    <w:p w14:paraId="7CB85041" w14:textId="77777777" w:rsidR="00860F12" w:rsidRPr="00D806D9" w:rsidRDefault="00860F12" w:rsidP="00213B58">
      <w:pPr>
        <w:rPr>
          <w:rFonts w:asciiTheme="majorBidi" w:hAnsiTheme="majorBidi" w:cstheme="majorBidi"/>
          <w:sz w:val="24"/>
          <w:szCs w:val="24"/>
          <w:lang w:val="en-US"/>
        </w:rPr>
      </w:pPr>
      <w:r w:rsidRPr="00D806D9">
        <w:rPr>
          <w:rFonts w:asciiTheme="majorBidi" w:hAnsiTheme="majorBidi" w:cstheme="majorBidi"/>
          <w:sz w:val="24"/>
          <w:szCs w:val="24"/>
          <w:lang w:val="en-US"/>
        </w:rPr>
        <w:t xml:space="preserve">WTO: </w:t>
      </w:r>
      <w:r w:rsidRPr="00D806D9">
        <w:rPr>
          <w:rFonts w:asciiTheme="majorBidi" w:hAnsiTheme="majorBidi" w:cstheme="majorBidi"/>
          <w:sz w:val="24"/>
          <w:szCs w:val="24"/>
          <w:lang w:val="en-US"/>
        </w:rPr>
        <w:tab/>
      </w:r>
      <w:r w:rsidRPr="00D806D9">
        <w:rPr>
          <w:rFonts w:asciiTheme="majorBidi" w:hAnsiTheme="majorBidi" w:cstheme="majorBidi"/>
          <w:sz w:val="24"/>
          <w:szCs w:val="24"/>
          <w:lang w:val="en-US"/>
        </w:rPr>
        <w:tab/>
        <w:t>World Trade Organization</w:t>
      </w:r>
    </w:p>
    <w:p w14:paraId="43321241" w14:textId="72F32831" w:rsidR="001A2528" w:rsidRPr="00D806D9" w:rsidRDefault="001A2528" w:rsidP="00737659">
      <w:pPr>
        <w:spacing w:before="240" w:after="240" w:line="360" w:lineRule="auto"/>
        <w:jc w:val="both"/>
        <w:rPr>
          <w:rFonts w:asciiTheme="majorBidi" w:eastAsia="Times New Roman" w:hAnsiTheme="majorBidi" w:cstheme="majorBidi"/>
          <w:color w:val="000000"/>
          <w:sz w:val="24"/>
          <w:szCs w:val="24"/>
          <w:lang w:val="en-US" w:eastAsia="fr-FR" w:bidi="he-IL"/>
        </w:rPr>
      </w:pPr>
    </w:p>
    <w:p w14:paraId="7559E52C" w14:textId="14B9AF1D" w:rsidR="001A2528" w:rsidRPr="00D806D9" w:rsidRDefault="001A2528" w:rsidP="00CB2D8A">
      <w:pPr>
        <w:spacing w:before="240" w:after="240" w:line="360" w:lineRule="auto"/>
        <w:jc w:val="both"/>
        <w:rPr>
          <w:rFonts w:asciiTheme="majorBidi" w:eastAsia="Times New Roman" w:hAnsiTheme="majorBidi" w:cstheme="majorBidi"/>
          <w:color w:val="000000"/>
          <w:sz w:val="24"/>
          <w:szCs w:val="24"/>
          <w:lang w:val="en-US" w:eastAsia="fr-FR" w:bidi="he-IL"/>
        </w:rPr>
      </w:pPr>
    </w:p>
    <w:p w14:paraId="327FB531" w14:textId="6856E17B" w:rsidR="001A2528" w:rsidRPr="00D806D9" w:rsidRDefault="001A2528" w:rsidP="00CB2D8A">
      <w:pPr>
        <w:spacing w:before="240" w:after="240" w:line="360" w:lineRule="auto"/>
        <w:jc w:val="both"/>
        <w:rPr>
          <w:rFonts w:asciiTheme="majorBidi" w:eastAsia="Times New Roman" w:hAnsiTheme="majorBidi" w:cstheme="majorBidi"/>
          <w:color w:val="000000"/>
          <w:sz w:val="24"/>
          <w:szCs w:val="24"/>
          <w:lang w:val="en-US" w:eastAsia="fr-FR" w:bidi="he-IL"/>
        </w:rPr>
      </w:pPr>
    </w:p>
    <w:p w14:paraId="68150CDD" w14:textId="62DF85A3" w:rsidR="001A2528" w:rsidRPr="00D806D9" w:rsidRDefault="001A2528" w:rsidP="00CB2D8A">
      <w:pPr>
        <w:spacing w:before="240" w:after="240" w:line="360" w:lineRule="auto"/>
        <w:jc w:val="both"/>
        <w:rPr>
          <w:rFonts w:asciiTheme="majorBidi" w:eastAsia="Times New Roman" w:hAnsiTheme="majorBidi" w:cstheme="majorBidi"/>
          <w:color w:val="000000"/>
          <w:sz w:val="24"/>
          <w:szCs w:val="24"/>
          <w:lang w:val="en-US" w:eastAsia="fr-FR" w:bidi="he-IL"/>
        </w:rPr>
      </w:pPr>
    </w:p>
    <w:p w14:paraId="3416AD42" w14:textId="65019E28" w:rsidR="00577ADD" w:rsidRPr="00D806D9" w:rsidRDefault="00577ADD" w:rsidP="00CB2D8A">
      <w:pPr>
        <w:spacing w:before="240" w:after="240" w:line="360" w:lineRule="auto"/>
        <w:jc w:val="both"/>
        <w:rPr>
          <w:rFonts w:asciiTheme="majorBidi" w:eastAsia="Times New Roman" w:hAnsiTheme="majorBidi" w:cstheme="majorBidi"/>
          <w:color w:val="000000"/>
          <w:sz w:val="24"/>
          <w:szCs w:val="24"/>
          <w:lang w:val="en-US" w:eastAsia="fr-FR" w:bidi="he-IL"/>
        </w:rPr>
      </w:pPr>
    </w:p>
    <w:p w14:paraId="0A1D54ED" w14:textId="224FCD42" w:rsidR="00577ADD" w:rsidRPr="00D806D9" w:rsidRDefault="00577ADD" w:rsidP="00CB2D8A">
      <w:pPr>
        <w:spacing w:before="240" w:after="240" w:line="360" w:lineRule="auto"/>
        <w:jc w:val="both"/>
        <w:rPr>
          <w:rFonts w:asciiTheme="majorBidi" w:eastAsia="Times New Roman" w:hAnsiTheme="majorBidi" w:cstheme="majorBidi"/>
          <w:color w:val="000000"/>
          <w:sz w:val="24"/>
          <w:szCs w:val="24"/>
          <w:lang w:val="en-US" w:eastAsia="fr-FR" w:bidi="he-IL"/>
        </w:rPr>
      </w:pPr>
    </w:p>
    <w:p w14:paraId="6A82298D" w14:textId="77777777" w:rsidR="00577ADD" w:rsidRPr="00D806D9" w:rsidRDefault="00577ADD" w:rsidP="00CB2D8A">
      <w:pPr>
        <w:spacing w:before="240" w:after="240" w:line="360" w:lineRule="auto"/>
        <w:jc w:val="both"/>
        <w:rPr>
          <w:rFonts w:asciiTheme="majorBidi" w:eastAsia="Times New Roman" w:hAnsiTheme="majorBidi" w:cstheme="majorBidi"/>
          <w:color w:val="000000"/>
          <w:sz w:val="24"/>
          <w:szCs w:val="24"/>
          <w:lang w:val="en-US" w:eastAsia="fr-FR" w:bidi="he-IL"/>
        </w:rPr>
      </w:pPr>
    </w:p>
    <w:p w14:paraId="69D239A9" w14:textId="234B4F0F" w:rsidR="005E31A1" w:rsidRPr="00D806D9" w:rsidRDefault="0068594C" w:rsidP="0068594C">
      <w:pPr>
        <w:spacing w:before="240" w:after="240" w:line="360" w:lineRule="auto"/>
        <w:jc w:val="center"/>
        <w:rPr>
          <w:rFonts w:asciiTheme="majorBidi" w:hAnsiTheme="majorBidi" w:cstheme="majorBidi"/>
          <w:b/>
          <w:bCs/>
          <w:sz w:val="36"/>
          <w:szCs w:val="36"/>
          <w:lang w:val="en-US"/>
        </w:rPr>
      </w:pPr>
      <w:r w:rsidRPr="00D806D9">
        <w:rPr>
          <w:rFonts w:asciiTheme="majorBidi" w:hAnsiTheme="majorBidi" w:cstheme="majorBidi"/>
          <w:b/>
          <w:bCs/>
          <w:sz w:val="36"/>
          <w:szCs w:val="36"/>
          <w:lang w:val="en-US"/>
        </w:rPr>
        <w:lastRenderedPageBreak/>
        <w:t>List of figures, tables and boxes</w:t>
      </w:r>
    </w:p>
    <w:p w14:paraId="691DF8E8" w14:textId="525DC406" w:rsidR="000F013A" w:rsidRPr="00D806D9" w:rsidRDefault="000F013A" w:rsidP="000F013A">
      <w:pPr>
        <w:rPr>
          <w:lang w:val="en-US"/>
        </w:rPr>
      </w:pPr>
    </w:p>
    <w:p w14:paraId="723600D4" w14:textId="77777777" w:rsidR="000F013A" w:rsidRPr="00D806D9" w:rsidRDefault="000F013A" w:rsidP="000F013A">
      <w:pPr>
        <w:rPr>
          <w:lang w:val="en-US"/>
        </w:rPr>
      </w:pPr>
    </w:p>
    <w:p w14:paraId="3DE2D464" w14:textId="3F704DD7" w:rsidR="000F013A" w:rsidRPr="00D806D9" w:rsidRDefault="000F013A" w:rsidP="000F013A">
      <w:pPr>
        <w:tabs>
          <w:tab w:val="left" w:leader="dot" w:pos="8222"/>
        </w:tabs>
        <w:rPr>
          <w:rFonts w:asciiTheme="majorBidi" w:eastAsia="Times New Roman" w:hAnsiTheme="majorBidi" w:cstheme="majorBidi"/>
          <w:sz w:val="24"/>
          <w:szCs w:val="24"/>
          <w:lang w:val="en-US" w:eastAsia="fr-FR" w:bidi="he-IL"/>
        </w:rPr>
      </w:pPr>
      <w:r w:rsidRPr="00D806D9">
        <w:rPr>
          <w:rFonts w:asciiTheme="majorBidi" w:hAnsiTheme="majorBidi" w:cstheme="majorBidi"/>
          <w:sz w:val="24"/>
          <w:szCs w:val="24"/>
          <w:lang w:val="en-US"/>
        </w:rPr>
        <w:t xml:space="preserve">Figure </w:t>
      </w:r>
      <w:r w:rsidR="00C37CF2" w:rsidRPr="00D806D9">
        <w:rPr>
          <w:rFonts w:asciiTheme="majorBidi" w:hAnsiTheme="majorBidi" w:cstheme="majorBidi"/>
          <w:sz w:val="24"/>
          <w:szCs w:val="24"/>
          <w:lang w:val="en-US"/>
        </w:rPr>
        <w:t>1:</w:t>
      </w:r>
      <w:r w:rsidRPr="00D806D9">
        <w:rPr>
          <w:rFonts w:asciiTheme="majorBidi" w:hAnsiTheme="majorBidi" w:cstheme="majorBidi"/>
          <w:sz w:val="24"/>
          <w:szCs w:val="24"/>
          <w:lang w:val="en-US"/>
        </w:rPr>
        <w:t xml:space="preserve"> Cost-effectiveness of emissions trading</w:t>
      </w:r>
      <w:r w:rsidRPr="00D806D9">
        <w:rPr>
          <w:rFonts w:asciiTheme="majorBidi" w:eastAsia="Times New Roman" w:hAnsiTheme="majorBidi" w:cstheme="majorBidi"/>
          <w:sz w:val="24"/>
          <w:szCs w:val="24"/>
          <w:lang w:val="en-US" w:eastAsia="fr-FR" w:bidi="he-IL"/>
        </w:rPr>
        <w:tab/>
      </w:r>
      <w:r w:rsidR="0055513C" w:rsidRPr="00D806D9">
        <w:rPr>
          <w:rFonts w:asciiTheme="majorBidi" w:eastAsia="Times New Roman" w:hAnsiTheme="majorBidi" w:cstheme="majorBidi"/>
          <w:sz w:val="24"/>
          <w:szCs w:val="24"/>
          <w:lang w:val="en-US" w:eastAsia="fr-FR" w:bidi="he-IL"/>
        </w:rPr>
        <w:t>1</w:t>
      </w:r>
      <w:r w:rsidR="00577ADD" w:rsidRPr="00D806D9">
        <w:rPr>
          <w:rFonts w:asciiTheme="majorBidi" w:eastAsia="Times New Roman" w:hAnsiTheme="majorBidi" w:cstheme="majorBidi"/>
          <w:sz w:val="24"/>
          <w:szCs w:val="24"/>
          <w:lang w:val="en-US" w:eastAsia="fr-FR" w:bidi="he-IL"/>
        </w:rPr>
        <w:t>4</w:t>
      </w:r>
    </w:p>
    <w:p w14:paraId="41FAE0B0" w14:textId="77777777" w:rsidR="000F013A" w:rsidRPr="00D806D9" w:rsidRDefault="000F013A" w:rsidP="000F013A">
      <w:pPr>
        <w:tabs>
          <w:tab w:val="left" w:leader="dot" w:pos="8505"/>
        </w:tabs>
        <w:rPr>
          <w:rFonts w:asciiTheme="majorBidi" w:eastAsia="Times New Roman" w:hAnsiTheme="majorBidi" w:cstheme="majorBidi"/>
          <w:sz w:val="24"/>
          <w:szCs w:val="24"/>
          <w:lang w:val="en-US" w:eastAsia="fr-FR" w:bidi="he-IL"/>
        </w:rPr>
      </w:pPr>
    </w:p>
    <w:p w14:paraId="7869FDDC" w14:textId="72DD6E77" w:rsidR="000F013A" w:rsidRPr="00D806D9" w:rsidRDefault="000F013A" w:rsidP="000F013A">
      <w:pPr>
        <w:tabs>
          <w:tab w:val="left" w:leader="dot" w:pos="8222"/>
        </w:tabs>
        <w:rPr>
          <w:rFonts w:asciiTheme="majorBidi" w:eastAsia="Times New Roman" w:hAnsiTheme="majorBidi" w:cstheme="majorBidi"/>
          <w:sz w:val="24"/>
          <w:szCs w:val="24"/>
          <w:lang w:val="en-US" w:eastAsia="fr-FR" w:bidi="he-IL"/>
        </w:rPr>
      </w:pPr>
      <w:r w:rsidRPr="00D806D9">
        <w:rPr>
          <w:rFonts w:asciiTheme="majorBidi" w:hAnsiTheme="majorBidi" w:cstheme="majorBidi"/>
          <w:sz w:val="24"/>
          <w:szCs w:val="24"/>
          <w:lang w:val="en-US"/>
        </w:rPr>
        <w:t xml:space="preserve">Figure </w:t>
      </w:r>
      <w:r w:rsidR="00C37CF2" w:rsidRPr="00D806D9">
        <w:rPr>
          <w:rFonts w:asciiTheme="majorBidi" w:hAnsiTheme="majorBidi" w:cstheme="majorBidi"/>
          <w:sz w:val="24"/>
          <w:szCs w:val="24"/>
          <w:lang w:val="en-US"/>
        </w:rPr>
        <w:t>2:</w:t>
      </w:r>
      <w:r w:rsidRPr="00D806D9">
        <w:rPr>
          <w:rFonts w:asciiTheme="majorBidi" w:hAnsiTheme="majorBidi" w:cstheme="majorBidi"/>
          <w:sz w:val="24"/>
          <w:szCs w:val="24"/>
          <w:lang w:val="en-US"/>
        </w:rPr>
        <w:t xml:space="preserve"> </w:t>
      </w:r>
      <w:r w:rsidR="00A20294" w:rsidRPr="00D806D9">
        <w:rPr>
          <w:rFonts w:asciiTheme="majorBidi" w:hAnsiTheme="majorBidi" w:cstheme="majorBidi"/>
          <w:sz w:val="24"/>
          <w:szCs w:val="24"/>
          <w:lang w:val="en-US"/>
        </w:rPr>
        <w:t xml:space="preserve">Global </w:t>
      </w:r>
      <w:r w:rsidR="008E4B52" w:rsidRPr="00D806D9">
        <w:rPr>
          <w:rFonts w:asciiTheme="majorBidi" w:hAnsiTheme="majorBidi" w:cstheme="majorBidi"/>
          <w:sz w:val="24"/>
          <w:szCs w:val="24"/>
          <w:lang w:val="en-US"/>
        </w:rPr>
        <w:t>d</w:t>
      </w:r>
      <w:r w:rsidR="00A20294" w:rsidRPr="00D806D9">
        <w:rPr>
          <w:rFonts w:asciiTheme="majorBidi" w:hAnsiTheme="majorBidi" w:cstheme="majorBidi"/>
          <w:sz w:val="24"/>
          <w:szCs w:val="24"/>
          <w:lang w:val="en-US"/>
        </w:rPr>
        <w:t>edicate</w:t>
      </w:r>
      <w:r w:rsidR="001A5350">
        <w:rPr>
          <w:rFonts w:asciiTheme="majorBidi" w:hAnsiTheme="majorBidi" w:cstheme="majorBidi"/>
          <w:sz w:val="24"/>
          <w:szCs w:val="24"/>
          <w:lang w:val="en-US"/>
        </w:rPr>
        <w:t>d</w:t>
      </w:r>
      <w:r w:rsidR="00A20294" w:rsidRPr="00D806D9">
        <w:rPr>
          <w:rFonts w:asciiTheme="majorBidi" w:hAnsiTheme="majorBidi" w:cstheme="majorBidi"/>
          <w:sz w:val="24"/>
          <w:szCs w:val="24"/>
          <w:lang w:val="en-US"/>
        </w:rPr>
        <w:t xml:space="preserve"> </w:t>
      </w:r>
      <w:r w:rsidR="008E4B52" w:rsidRPr="00D806D9">
        <w:rPr>
          <w:rFonts w:asciiTheme="majorBidi" w:hAnsiTheme="majorBidi" w:cstheme="majorBidi"/>
          <w:sz w:val="24"/>
          <w:szCs w:val="24"/>
          <w:lang w:val="en-US"/>
        </w:rPr>
        <w:t>h</w:t>
      </w:r>
      <w:r w:rsidR="00A20294" w:rsidRPr="00D806D9">
        <w:rPr>
          <w:rFonts w:asciiTheme="majorBidi" w:hAnsiTheme="majorBidi" w:cstheme="majorBidi"/>
          <w:sz w:val="24"/>
          <w:szCs w:val="24"/>
          <w:lang w:val="en-US"/>
        </w:rPr>
        <w:t xml:space="preserve">ydrogen </w:t>
      </w:r>
      <w:r w:rsidR="008E4B52" w:rsidRPr="00D806D9">
        <w:rPr>
          <w:rFonts w:asciiTheme="majorBidi" w:hAnsiTheme="majorBidi" w:cstheme="majorBidi"/>
          <w:sz w:val="24"/>
          <w:szCs w:val="24"/>
          <w:lang w:val="en-US"/>
        </w:rPr>
        <w:t>p</w:t>
      </w:r>
      <w:r w:rsidR="00A20294" w:rsidRPr="00D806D9">
        <w:rPr>
          <w:rFonts w:asciiTheme="majorBidi" w:hAnsiTheme="majorBidi" w:cstheme="majorBidi"/>
          <w:sz w:val="24"/>
          <w:szCs w:val="24"/>
          <w:lang w:val="en-US"/>
        </w:rPr>
        <w:t>roduction</w:t>
      </w:r>
      <w:r w:rsidRPr="00D806D9">
        <w:rPr>
          <w:rFonts w:asciiTheme="majorBidi" w:eastAsia="Times New Roman" w:hAnsiTheme="majorBidi" w:cstheme="majorBidi"/>
          <w:sz w:val="24"/>
          <w:szCs w:val="24"/>
          <w:lang w:val="en-US" w:eastAsia="fr-FR" w:bidi="he-IL"/>
        </w:rPr>
        <w:tab/>
      </w:r>
      <w:r w:rsidR="0055513C" w:rsidRPr="00D806D9">
        <w:rPr>
          <w:rFonts w:asciiTheme="majorBidi" w:eastAsia="Times New Roman" w:hAnsiTheme="majorBidi" w:cstheme="majorBidi"/>
          <w:sz w:val="24"/>
          <w:szCs w:val="24"/>
          <w:lang w:val="en-US" w:eastAsia="fr-FR" w:bidi="he-IL"/>
        </w:rPr>
        <w:t>1</w:t>
      </w:r>
      <w:r w:rsidR="00577ADD" w:rsidRPr="00D806D9">
        <w:rPr>
          <w:rFonts w:asciiTheme="majorBidi" w:eastAsia="Times New Roman" w:hAnsiTheme="majorBidi" w:cstheme="majorBidi"/>
          <w:sz w:val="24"/>
          <w:szCs w:val="24"/>
          <w:lang w:val="en-US" w:eastAsia="fr-FR" w:bidi="he-IL"/>
        </w:rPr>
        <w:t>9</w:t>
      </w:r>
    </w:p>
    <w:p w14:paraId="0EE55816" w14:textId="77777777" w:rsidR="000F013A" w:rsidRPr="00D806D9" w:rsidRDefault="000F013A" w:rsidP="000F013A">
      <w:pPr>
        <w:tabs>
          <w:tab w:val="left" w:leader="dot" w:pos="8505"/>
        </w:tabs>
        <w:rPr>
          <w:rFonts w:asciiTheme="majorBidi" w:eastAsia="Times New Roman" w:hAnsiTheme="majorBidi" w:cstheme="majorBidi"/>
          <w:sz w:val="24"/>
          <w:szCs w:val="24"/>
          <w:lang w:val="en-US" w:eastAsia="fr-FR" w:bidi="he-IL"/>
        </w:rPr>
      </w:pPr>
    </w:p>
    <w:p w14:paraId="153CCF85" w14:textId="5802732B" w:rsidR="000F013A" w:rsidRPr="00D806D9" w:rsidRDefault="000F013A" w:rsidP="000F013A">
      <w:pPr>
        <w:tabs>
          <w:tab w:val="left" w:leader="dot" w:pos="8222"/>
        </w:tabs>
        <w:rPr>
          <w:rFonts w:asciiTheme="majorBidi" w:hAnsiTheme="majorBidi" w:cstheme="majorBidi"/>
          <w:sz w:val="24"/>
          <w:szCs w:val="24"/>
          <w:lang w:val="en-US"/>
        </w:rPr>
      </w:pPr>
      <w:r w:rsidRPr="00D806D9">
        <w:rPr>
          <w:rFonts w:asciiTheme="majorBidi" w:hAnsiTheme="majorBidi" w:cstheme="majorBidi"/>
          <w:sz w:val="24"/>
          <w:szCs w:val="24"/>
          <w:lang w:val="en-US"/>
        </w:rPr>
        <w:t xml:space="preserve">Figure </w:t>
      </w:r>
      <w:r w:rsidR="00C37CF2" w:rsidRPr="00D806D9">
        <w:rPr>
          <w:rFonts w:asciiTheme="majorBidi" w:hAnsiTheme="majorBidi" w:cstheme="majorBidi"/>
          <w:sz w:val="24"/>
          <w:szCs w:val="24"/>
          <w:lang w:val="en-US"/>
        </w:rPr>
        <w:t>3:</w:t>
      </w:r>
      <w:r w:rsidRPr="00D806D9">
        <w:rPr>
          <w:rFonts w:asciiTheme="majorBidi" w:hAnsiTheme="majorBidi" w:cstheme="majorBidi"/>
          <w:sz w:val="24"/>
          <w:szCs w:val="24"/>
          <w:lang w:val="en-US"/>
        </w:rPr>
        <w:t xml:space="preserve"> </w:t>
      </w:r>
      <w:r w:rsidR="00A20294" w:rsidRPr="00D806D9">
        <w:rPr>
          <w:rFonts w:asciiTheme="majorBidi" w:hAnsiTheme="majorBidi" w:cstheme="majorBidi"/>
          <w:sz w:val="24"/>
          <w:szCs w:val="24"/>
          <w:lang w:val="en-US"/>
        </w:rPr>
        <w:t xml:space="preserve">Net </w:t>
      </w:r>
      <w:r w:rsidR="008E4B52" w:rsidRPr="00D806D9">
        <w:rPr>
          <w:rFonts w:asciiTheme="majorBidi" w:hAnsiTheme="majorBidi" w:cstheme="majorBidi"/>
          <w:sz w:val="24"/>
          <w:szCs w:val="24"/>
          <w:lang w:val="en-US"/>
        </w:rPr>
        <w:t>e</w:t>
      </w:r>
      <w:r w:rsidR="00A20294" w:rsidRPr="00D806D9">
        <w:rPr>
          <w:rFonts w:asciiTheme="majorBidi" w:hAnsiTheme="majorBidi" w:cstheme="majorBidi"/>
          <w:sz w:val="24"/>
          <w:szCs w:val="24"/>
          <w:lang w:val="en-US"/>
        </w:rPr>
        <w:t xml:space="preserve">nergy </w:t>
      </w:r>
      <w:r w:rsidR="008E4B52" w:rsidRPr="00D806D9">
        <w:rPr>
          <w:rFonts w:asciiTheme="majorBidi" w:hAnsiTheme="majorBidi" w:cstheme="majorBidi"/>
          <w:sz w:val="24"/>
          <w:szCs w:val="24"/>
          <w:lang w:val="en-US"/>
        </w:rPr>
        <w:t>g</w:t>
      </w:r>
      <w:r w:rsidR="00A20294" w:rsidRPr="00D806D9">
        <w:rPr>
          <w:rFonts w:asciiTheme="majorBidi" w:hAnsiTheme="majorBidi" w:cstheme="majorBidi"/>
          <w:sz w:val="24"/>
          <w:szCs w:val="24"/>
          <w:lang w:val="en-US"/>
        </w:rPr>
        <w:t>eneration in the EU-27 in 2018</w:t>
      </w:r>
      <w:r w:rsidRPr="00D806D9">
        <w:rPr>
          <w:rFonts w:asciiTheme="majorBidi" w:hAnsiTheme="majorBidi" w:cstheme="majorBidi"/>
          <w:sz w:val="24"/>
          <w:szCs w:val="24"/>
          <w:lang w:val="en-US"/>
        </w:rPr>
        <w:tab/>
      </w:r>
      <w:r w:rsidR="0055513C" w:rsidRPr="00D806D9">
        <w:rPr>
          <w:rFonts w:asciiTheme="majorBidi" w:hAnsiTheme="majorBidi" w:cstheme="majorBidi"/>
          <w:sz w:val="24"/>
          <w:szCs w:val="24"/>
          <w:lang w:val="en-US"/>
        </w:rPr>
        <w:t>2</w:t>
      </w:r>
      <w:r w:rsidR="00577ADD" w:rsidRPr="00D806D9">
        <w:rPr>
          <w:rFonts w:asciiTheme="majorBidi" w:hAnsiTheme="majorBidi" w:cstheme="majorBidi"/>
          <w:sz w:val="24"/>
          <w:szCs w:val="24"/>
          <w:lang w:val="en-US"/>
        </w:rPr>
        <w:t>4</w:t>
      </w:r>
    </w:p>
    <w:p w14:paraId="79CD1F8B" w14:textId="77777777" w:rsidR="000F013A" w:rsidRPr="00D806D9" w:rsidRDefault="000F013A" w:rsidP="009842AC">
      <w:pPr>
        <w:tabs>
          <w:tab w:val="left" w:leader="dot" w:pos="8222"/>
        </w:tabs>
        <w:rPr>
          <w:rFonts w:asciiTheme="majorBidi" w:hAnsiTheme="majorBidi" w:cstheme="majorBidi"/>
          <w:sz w:val="24"/>
          <w:szCs w:val="24"/>
          <w:lang w:val="en-US"/>
        </w:rPr>
      </w:pPr>
    </w:p>
    <w:p w14:paraId="58F1D8B0" w14:textId="7EAB9F78" w:rsidR="000F013A" w:rsidRPr="00D806D9" w:rsidRDefault="000F013A" w:rsidP="000F013A">
      <w:pPr>
        <w:tabs>
          <w:tab w:val="left" w:leader="dot" w:pos="8222"/>
        </w:tabs>
        <w:rPr>
          <w:rFonts w:asciiTheme="majorBidi" w:hAnsiTheme="majorBidi" w:cstheme="majorBidi"/>
          <w:sz w:val="24"/>
          <w:szCs w:val="24"/>
          <w:lang w:val="en-US"/>
        </w:rPr>
      </w:pPr>
      <w:r w:rsidRPr="00D806D9">
        <w:rPr>
          <w:rFonts w:asciiTheme="majorBidi" w:hAnsiTheme="majorBidi" w:cstheme="majorBidi"/>
          <w:sz w:val="24"/>
          <w:szCs w:val="24"/>
          <w:lang w:val="en-US"/>
        </w:rPr>
        <w:t xml:space="preserve">Figure </w:t>
      </w:r>
      <w:r w:rsidR="00C37CF2" w:rsidRPr="00D806D9">
        <w:rPr>
          <w:rFonts w:asciiTheme="majorBidi" w:hAnsiTheme="majorBidi" w:cstheme="majorBidi"/>
          <w:sz w:val="24"/>
          <w:szCs w:val="24"/>
          <w:lang w:val="en-US"/>
        </w:rPr>
        <w:t>4:</w:t>
      </w:r>
      <w:r w:rsidRPr="00D806D9">
        <w:rPr>
          <w:rFonts w:asciiTheme="majorBidi" w:hAnsiTheme="majorBidi" w:cstheme="majorBidi"/>
          <w:sz w:val="24"/>
          <w:szCs w:val="24"/>
          <w:lang w:val="en-US"/>
        </w:rPr>
        <w:t xml:space="preserve"> </w:t>
      </w:r>
      <w:r w:rsidR="00576503" w:rsidRPr="00D806D9">
        <w:rPr>
          <w:rFonts w:asciiTheme="majorBidi" w:hAnsiTheme="majorBidi" w:cstheme="majorBidi"/>
          <w:sz w:val="24"/>
          <w:szCs w:val="24"/>
          <w:lang w:val="en-US"/>
        </w:rPr>
        <w:t>EU-ETS Price between 2005 and 2021</w:t>
      </w:r>
      <w:r w:rsidRPr="00D806D9">
        <w:rPr>
          <w:rFonts w:asciiTheme="majorBidi" w:hAnsiTheme="majorBidi" w:cstheme="majorBidi"/>
          <w:sz w:val="24"/>
          <w:szCs w:val="24"/>
          <w:lang w:val="en-US"/>
        </w:rPr>
        <w:tab/>
      </w:r>
      <w:r w:rsidR="00577ADD" w:rsidRPr="00D806D9">
        <w:rPr>
          <w:rFonts w:asciiTheme="majorBidi" w:hAnsiTheme="majorBidi" w:cstheme="majorBidi"/>
          <w:sz w:val="24"/>
          <w:szCs w:val="24"/>
          <w:lang w:val="en-US"/>
        </w:rPr>
        <w:t>30</w:t>
      </w:r>
    </w:p>
    <w:p w14:paraId="710B111E" w14:textId="77777777" w:rsidR="000F013A" w:rsidRPr="00D806D9" w:rsidRDefault="000F013A" w:rsidP="009842AC">
      <w:pPr>
        <w:tabs>
          <w:tab w:val="left" w:leader="dot" w:pos="8222"/>
        </w:tabs>
        <w:rPr>
          <w:rFonts w:asciiTheme="majorBidi" w:hAnsiTheme="majorBidi" w:cstheme="majorBidi"/>
          <w:sz w:val="24"/>
          <w:szCs w:val="24"/>
          <w:lang w:val="en-US"/>
        </w:rPr>
      </w:pPr>
    </w:p>
    <w:p w14:paraId="56910193" w14:textId="54C9AD53" w:rsidR="000F013A" w:rsidRPr="00D806D9" w:rsidRDefault="000F013A" w:rsidP="000F013A">
      <w:pPr>
        <w:tabs>
          <w:tab w:val="left" w:leader="dot" w:pos="8222"/>
        </w:tabs>
        <w:rPr>
          <w:rFonts w:asciiTheme="majorBidi" w:hAnsiTheme="majorBidi" w:cstheme="majorBidi"/>
          <w:sz w:val="24"/>
          <w:szCs w:val="24"/>
          <w:lang w:val="en-US"/>
        </w:rPr>
      </w:pPr>
      <w:r w:rsidRPr="00D806D9">
        <w:rPr>
          <w:rFonts w:asciiTheme="majorBidi" w:hAnsiTheme="majorBidi" w:cstheme="majorBidi"/>
          <w:sz w:val="24"/>
          <w:szCs w:val="24"/>
          <w:lang w:val="en-US"/>
        </w:rPr>
        <w:t xml:space="preserve">Figure </w:t>
      </w:r>
      <w:r w:rsidR="00C37CF2" w:rsidRPr="00D806D9">
        <w:rPr>
          <w:rFonts w:asciiTheme="majorBidi" w:hAnsiTheme="majorBidi" w:cstheme="majorBidi"/>
          <w:sz w:val="24"/>
          <w:szCs w:val="24"/>
          <w:lang w:val="en-US"/>
        </w:rPr>
        <w:t>5:</w:t>
      </w:r>
      <w:r w:rsidRPr="00D806D9">
        <w:rPr>
          <w:rFonts w:asciiTheme="majorBidi" w:hAnsiTheme="majorBidi" w:cstheme="majorBidi"/>
          <w:sz w:val="24"/>
          <w:szCs w:val="24"/>
          <w:lang w:val="en-US"/>
        </w:rPr>
        <w:t xml:space="preserve"> </w:t>
      </w:r>
      <w:r w:rsidR="00EF3C19" w:rsidRPr="00D806D9">
        <w:rPr>
          <w:rFonts w:asciiTheme="majorBidi" w:hAnsiTheme="majorBidi" w:cstheme="majorBidi"/>
          <w:sz w:val="24"/>
          <w:szCs w:val="24"/>
          <w:lang w:val="en-US"/>
        </w:rPr>
        <w:t>Overall IF program impact by sector</w:t>
      </w:r>
      <w:r w:rsidRPr="00D806D9">
        <w:rPr>
          <w:rFonts w:asciiTheme="majorBidi" w:hAnsiTheme="majorBidi" w:cstheme="majorBidi"/>
          <w:sz w:val="24"/>
          <w:szCs w:val="24"/>
          <w:lang w:val="en-US"/>
        </w:rPr>
        <w:tab/>
      </w:r>
      <w:r w:rsidR="00717086" w:rsidRPr="00D806D9">
        <w:rPr>
          <w:rFonts w:asciiTheme="majorBidi" w:hAnsiTheme="majorBidi" w:cstheme="majorBidi"/>
          <w:sz w:val="24"/>
          <w:szCs w:val="24"/>
          <w:lang w:val="en-US"/>
        </w:rPr>
        <w:t>3</w:t>
      </w:r>
      <w:r w:rsidR="00577ADD" w:rsidRPr="00D806D9">
        <w:rPr>
          <w:rFonts w:asciiTheme="majorBidi" w:hAnsiTheme="majorBidi" w:cstheme="majorBidi"/>
          <w:sz w:val="24"/>
          <w:szCs w:val="24"/>
          <w:lang w:val="en-US"/>
        </w:rPr>
        <w:t>8</w:t>
      </w:r>
    </w:p>
    <w:p w14:paraId="48B9A3C4" w14:textId="77777777" w:rsidR="009842AC" w:rsidRPr="00D806D9" w:rsidRDefault="009842AC" w:rsidP="000F013A">
      <w:pPr>
        <w:tabs>
          <w:tab w:val="left" w:leader="dot" w:pos="8222"/>
        </w:tabs>
        <w:rPr>
          <w:rFonts w:asciiTheme="majorBidi" w:hAnsiTheme="majorBidi" w:cstheme="majorBidi"/>
          <w:sz w:val="24"/>
          <w:szCs w:val="24"/>
          <w:lang w:val="en-US"/>
        </w:rPr>
      </w:pPr>
    </w:p>
    <w:p w14:paraId="681C38AA" w14:textId="3E1C3E04" w:rsidR="009842AC" w:rsidRPr="00D806D9" w:rsidRDefault="009842AC" w:rsidP="000F013A">
      <w:pPr>
        <w:tabs>
          <w:tab w:val="left" w:leader="dot" w:pos="8222"/>
        </w:tabs>
        <w:rPr>
          <w:rFonts w:asciiTheme="majorBidi" w:hAnsiTheme="majorBidi" w:cstheme="majorBidi"/>
          <w:sz w:val="24"/>
          <w:szCs w:val="24"/>
          <w:lang w:val="en-US"/>
        </w:rPr>
      </w:pPr>
      <w:r w:rsidRPr="00D806D9">
        <w:rPr>
          <w:rFonts w:asciiTheme="majorBidi" w:hAnsiTheme="majorBidi" w:cstheme="majorBidi"/>
          <w:sz w:val="24"/>
          <w:szCs w:val="24"/>
          <w:lang w:val="en-US"/>
        </w:rPr>
        <w:t>Figure 6: CCfD strike price and payments representation</w:t>
      </w:r>
      <w:r w:rsidRPr="00D806D9">
        <w:rPr>
          <w:rFonts w:asciiTheme="majorBidi" w:hAnsiTheme="majorBidi" w:cstheme="majorBidi"/>
          <w:sz w:val="24"/>
          <w:szCs w:val="24"/>
          <w:lang w:val="en-US"/>
        </w:rPr>
        <w:tab/>
      </w:r>
      <w:r w:rsidR="00717086" w:rsidRPr="00D806D9">
        <w:rPr>
          <w:rFonts w:asciiTheme="majorBidi" w:hAnsiTheme="majorBidi" w:cstheme="majorBidi"/>
          <w:sz w:val="24"/>
          <w:szCs w:val="24"/>
          <w:lang w:val="en-US"/>
        </w:rPr>
        <w:t>3</w:t>
      </w:r>
      <w:r w:rsidR="00577ADD" w:rsidRPr="00D806D9">
        <w:rPr>
          <w:rFonts w:asciiTheme="majorBidi" w:hAnsiTheme="majorBidi" w:cstheme="majorBidi"/>
          <w:sz w:val="24"/>
          <w:szCs w:val="24"/>
          <w:lang w:val="en-US"/>
        </w:rPr>
        <w:t>9</w:t>
      </w:r>
    </w:p>
    <w:p w14:paraId="5A1F1E87" w14:textId="77777777" w:rsidR="009842AC" w:rsidRPr="00D806D9" w:rsidRDefault="009842AC" w:rsidP="000F013A">
      <w:pPr>
        <w:tabs>
          <w:tab w:val="left" w:leader="dot" w:pos="8222"/>
        </w:tabs>
        <w:rPr>
          <w:rFonts w:asciiTheme="majorBidi" w:hAnsiTheme="majorBidi" w:cstheme="majorBidi"/>
          <w:sz w:val="24"/>
          <w:szCs w:val="24"/>
          <w:lang w:val="en-US"/>
        </w:rPr>
      </w:pPr>
    </w:p>
    <w:p w14:paraId="2D9B0B1B" w14:textId="16A491DB" w:rsidR="007250DB" w:rsidRPr="00D806D9" w:rsidRDefault="009842AC" w:rsidP="007250DB">
      <w:pPr>
        <w:tabs>
          <w:tab w:val="left" w:leader="dot" w:pos="8222"/>
        </w:tabs>
        <w:ind w:left="993" w:hanging="993"/>
        <w:rPr>
          <w:rFonts w:asciiTheme="majorBidi" w:hAnsiTheme="majorBidi" w:cstheme="majorBidi"/>
          <w:sz w:val="24"/>
          <w:szCs w:val="24"/>
          <w:lang w:val="en-US"/>
        </w:rPr>
      </w:pPr>
      <w:r w:rsidRPr="00D806D9">
        <w:rPr>
          <w:rFonts w:asciiTheme="majorBidi" w:hAnsiTheme="majorBidi" w:cstheme="majorBidi"/>
          <w:sz w:val="24"/>
          <w:szCs w:val="24"/>
          <w:lang w:val="en-US"/>
        </w:rPr>
        <w:t xml:space="preserve">Figure 7: </w:t>
      </w:r>
      <w:r w:rsidR="007250DB" w:rsidRPr="00D806D9">
        <w:rPr>
          <w:rFonts w:asciiTheme="majorBidi" w:hAnsiTheme="majorBidi" w:cstheme="majorBidi"/>
          <w:sz w:val="24"/>
          <w:szCs w:val="24"/>
          <w:lang w:val="en-US"/>
        </w:rPr>
        <w:t xml:space="preserve">Breakeven cost estimates of very </w:t>
      </w:r>
      <w:r w:rsidR="00397B73">
        <w:rPr>
          <w:rFonts w:asciiTheme="majorBidi" w:hAnsiTheme="majorBidi" w:cstheme="majorBidi"/>
          <w:sz w:val="24"/>
          <w:szCs w:val="24"/>
          <w:lang w:val="en-US"/>
        </w:rPr>
        <w:t>low-carbon</w:t>
      </w:r>
      <w:r w:rsidR="007250DB" w:rsidRPr="00D806D9">
        <w:rPr>
          <w:rFonts w:asciiTheme="majorBidi" w:hAnsiTheme="majorBidi" w:cstheme="majorBidi"/>
          <w:sz w:val="24"/>
          <w:szCs w:val="24"/>
          <w:lang w:val="en-US"/>
        </w:rPr>
        <w:t xml:space="preserve"> cement, primary steel and </w:t>
      </w:r>
    </w:p>
    <w:p w14:paraId="624FD16D" w14:textId="4C505751" w:rsidR="009842AC" w:rsidRPr="00D806D9" w:rsidRDefault="007250DB" w:rsidP="007250DB">
      <w:pPr>
        <w:tabs>
          <w:tab w:val="left" w:leader="dot" w:pos="8222"/>
        </w:tabs>
        <w:ind w:left="851" w:hanging="993"/>
        <w:rPr>
          <w:rFonts w:asciiTheme="majorBidi" w:hAnsiTheme="majorBidi" w:cstheme="majorBidi"/>
          <w:sz w:val="24"/>
          <w:szCs w:val="24"/>
          <w:lang w:val="en-US"/>
        </w:rPr>
      </w:pPr>
      <w:r w:rsidRPr="00D806D9">
        <w:rPr>
          <w:rFonts w:asciiTheme="majorBidi" w:hAnsiTheme="majorBidi" w:cstheme="majorBidi"/>
          <w:sz w:val="24"/>
          <w:szCs w:val="24"/>
          <w:lang w:val="en-US"/>
        </w:rPr>
        <w:tab/>
        <w:t xml:space="preserve"> primary aluminum technologies</w:t>
      </w:r>
      <w:r w:rsidR="009842AC" w:rsidRPr="00D806D9">
        <w:rPr>
          <w:rFonts w:asciiTheme="majorBidi" w:hAnsiTheme="majorBidi" w:cstheme="majorBidi"/>
          <w:sz w:val="24"/>
          <w:szCs w:val="24"/>
          <w:lang w:val="en-US"/>
        </w:rPr>
        <w:tab/>
      </w:r>
      <w:r w:rsidR="00717086" w:rsidRPr="00D806D9">
        <w:rPr>
          <w:rFonts w:asciiTheme="majorBidi" w:hAnsiTheme="majorBidi" w:cstheme="majorBidi"/>
          <w:sz w:val="24"/>
          <w:szCs w:val="24"/>
          <w:lang w:val="en-US"/>
        </w:rPr>
        <w:t>4</w:t>
      </w:r>
      <w:r w:rsidR="00577ADD" w:rsidRPr="00D806D9">
        <w:rPr>
          <w:rFonts w:asciiTheme="majorBidi" w:hAnsiTheme="majorBidi" w:cstheme="majorBidi"/>
          <w:sz w:val="24"/>
          <w:szCs w:val="24"/>
          <w:lang w:val="en-US"/>
        </w:rPr>
        <w:t>7</w:t>
      </w:r>
    </w:p>
    <w:p w14:paraId="06FAE5D5" w14:textId="77777777" w:rsidR="009842AC" w:rsidRPr="00D806D9" w:rsidRDefault="009842AC" w:rsidP="000F013A">
      <w:pPr>
        <w:tabs>
          <w:tab w:val="left" w:leader="dot" w:pos="8222"/>
        </w:tabs>
        <w:rPr>
          <w:rFonts w:asciiTheme="majorBidi" w:hAnsiTheme="majorBidi" w:cstheme="majorBidi"/>
          <w:sz w:val="24"/>
          <w:szCs w:val="24"/>
          <w:lang w:val="en-US"/>
        </w:rPr>
      </w:pPr>
    </w:p>
    <w:p w14:paraId="1B24A7BA" w14:textId="3C705AAD" w:rsidR="005E31A1" w:rsidRPr="00D806D9" w:rsidRDefault="005E31A1" w:rsidP="009842AC">
      <w:pPr>
        <w:tabs>
          <w:tab w:val="left" w:leader="dot" w:pos="8222"/>
        </w:tabs>
        <w:rPr>
          <w:rFonts w:asciiTheme="majorBidi" w:hAnsiTheme="majorBidi" w:cstheme="majorBidi"/>
          <w:sz w:val="24"/>
          <w:szCs w:val="24"/>
          <w:lang w:val="en-US"/>
        </w:rPr>
      </w:pPr>
      <w:r w:rsidRPr="00D806D9">
        <w:rPr>
          <w:rFonts w:asciiTheme="majorBidi" w:hAnsiTheme="majorBidi" w:cstheme="majorBidi"/>
          <w:sz w:val="24"/>
          <w:szCs w:val="24"/>
          <w:lang w:val="en-US"/>
        </w:rPr>
        <w:br w:type="page"/>
      </w:r>
    </w:p>
    <w:p w14:paraId="65376DC5" w14:textId="33BA553A" w:rsidR="00A95704" w:rsidRPr="00D806D9" w:rsidRDefault="00A95704" w:rsidP="00D806D9">
      <w:pPr>
        <w:spacing w:after="0" w:line="480" w:lineRule="auto"/>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lastRenderedPageBreak/>
        <w:t>Introduction</w:t>
      </w:r>
    </w:p>
    <w:p w14:paraId="0E645FB3" w14:textId="77777777" w:rsidR="007C5335" w:rsidRPr="00D806D9" w:rsidRDefault="007C5335" w:rsidP="00D806D9">
      <w:pPr>
        <w:spacing w:after="0" w:line="480" w:lineRule="auto"/>
        <w:jc w:val="both"/>
        <w:rPr>
          <w:rFonts w:asciiTheme="majorBidi" w:eastAsia="Times New Roman" w:hAnsiTheme="majorBidi" w:cstheme="majorBidi"/>
          <w:b/>
          <w:bCs/>
          <w:color w:val="000000"/>
          <w:sz w:val="24"/>
          <w:szCs w:val="24"/>
          <w:lang w:val="en-US" w:eastAsia="fr-FR" w:bidi="he-IL"/>
        </w:rPr>
      </w:pPr>
    </w:p>
    <w:p w14:paraId="12650A9E" w14:textId="717E86B1" w:rsidR="00E35AA7" w:rsidRPr="00D806D9" w:rsidRDefault="007B51CD" w:rsidP="00D806D9">
      <w:pPr>
        <w:autoSpaceDE w:val="0"/>
        <w:autoSpaceDN w:val="0"/>
        <w:adjustRightInd w:val="0"/>
        <w:spacing w:after="0" w:line="480" w:lineRule="auto"/>
        <w:ind w:firstLine="708"/>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GHGE</w:t>
      </w:r>
      <w:r w:rsidR="00A95704" w:rsidRPr="00D806D9">
        <w:rPr>
          <w:rFonts w:asciiTheme="majorBidi" w:eastAsia="Times New Roman" w:hAnsiTheme="majorBidi" w:cstheme="majorBidi"/>
          <w:sz w:val="24"/>
          <w:szCs w:val="24"/>
          <w:lang w:val="en-US" w:eastAsia="fr-FR" w:bidi="he-IL"/>
        </w:rPr>
        <w:t xml:space="preserve"> </w:t>
      </w:r>
      <w:r w:rsidR="000B21F6" w:rsidRPr="00D806D9">
        <w:rPr>
          <w:rFonts w:asciiTheme="majorBidi" w:eastAsia="Times New Roman" w:hAnsiTheme="majorBidi" w:cstheme="majorBidi"/>
          <w:sz w:val="24"/>
          <w:szCs w:val="24"/>
          <w:lang w:val="en-US" w:eastAsia="fr-FR" w:bidi="he-IL"/>
        </w:rPr>
        <w:t>result in</w:t>
      </w:r>
      <w:r w:rsidR="00A95704" w:rsidRPr="00D806D9">
        <w:rPr>
          <w:rFonts w:asciiTheme="majorBidi" w:eastAsia="Times New Roman" w:hAnsiTheme="majorBidi" w:cstheme="majorBidi"/>
          <w:sz w:val="24"/>
          <w:szCs w:val="24"/>
          <w:lang w:val="en-US" w:eastAsia="fr-FR" w:bidi="he-IL"/>
        </w:rPr>
        <w:t xml:space="preserve"> extensive economic costs, </w:t>
      </w:r>
      <w:r w:rsidR="00B95F43" w:rsidRPr="00D806D9">
        <w:rPr>
          <w:rFonts w:asciiTheme="majorBidi" w:eastAsia="Times New Roman" w:hAnsiTheme="majorBidi" w:cstheme="majorBidi"/>
          <w:sz w:val="24"/>
          <w:szCs w:val="24"/>
          <w:lang w:val="en-US" w:eastAsia="fr-FR" w:bidi="he-IL"/>
        </w:rPr>
        <w:t>from one to seven years of global GDP by 2100 (Wei et al.</w:t>
      </w:r>
      <w:r w:rsidR="00A95704" w:rsidRPr="00D806D9">
        <w:rPr>
          <w:rFonts w:asciiTheme="majorBidi" w:eastAsia="Times New Roman" w:hAnsiTheme="majorBidi" w:cstheme="majorBidi"/>
          <w:sz w:val="24"/>
          <w:szCs w:val="24"/>
          <w:lang w:val="en-US" w:eastAsia="fr-FR" w:bidi="he-IL"/>
        </w:rPr>
        <w:t>, 202</w:t>
      </w:r>
      <w:r w:rsidR="00B95F43" w:rsidRPr="00D806D9">
        <w:rPr>
          <w:rFonts w:asciiTheme="majorBidi" w:eastAsia="Times New Roman" w:hAnsiTheme="majorBidi" w:cstheme="majorBidi"/>
          <w:sz w:val="24"/>
          <w:szCs w:val="24"/>
          <w:lang w:val="en-US" w:eastAsia="fr-FR" w:bidi="he-IL"/>
        </w:rPr>
        <w:t>0</w:t>
      </w:r>
      <w:r w:rsidR="00A95704" w:rsidRPr="00D806D9">
        <w:rPr>
          <w:rFonts w:asciiTheme="majorBidi" w:eastAsia="Times New Roman" w:hAnsiTheme="majorBidi" w:cstheme="majorBidi"/>
          <w:sz w:val="24"/>
          <w:szCs w:val="24"/>
          <w:lang w:val="en-US" w:eastAsia="fr-FR" w:bidi="he-IL"/>
        </w:rPr>
        <w:t xml:space="preserve">) </w:t>
      </w:r>
      <w:r w:rsidR="00B95F43" w:rsidRPr="00D806D9">
        <w:rPr>
          <w:rFonts w:asciiTheme="majorBidi" w:eastAsia="Times New Roman" w:hAnsiTheme="majorBidi" w:cstheme="majorBidi"/>
          <w:sz w:val="24"/>
          <w:szCs w:val="24"/>
          <w:lang w:val="en-US" w:eastAsia="fr-FR" w:bidi="he-IL"/>
        </w:rPr>
        <w:t>due to</w:t>
      </w:r>
      <w:r w:rsidR="009A2D37" w:rsidRPr="00D806D9">
        <w:rPr>
          <w:rFonts w:asciiTheme="majorBidi" w:eastAsia="Times New Roman" w:hAnsiTheme="majorBidi" w:cstheme="majorBidi"/>
          <w:sz w:val="24"/>
          <w:szCs w:val="24"/>
          <w:lang w:val="en-US" w:eastAsia="fr-FR" w:bidi="he-IL"/>
        </w:rPr>
        <w:t xml:space="preserve"> </w:t>
      </w:r>
      <w:r w:rsidR="00A95704" w:rsidRPr="00D806D9">
        <w:rPr>
          <w:rFonts w:asciiTheme="majorBidi" w:eastAsia="Times New Roman" w:hAnsiTheme="majorBidi" w:cstheme="majorBidi"/>
          <w:sz w:val="24"/>
          <w:szCs w:val="24"/>
          <w:lang w:val="en-US" w:eastAsia="fr-FR" w:bidi="he-IL"/>
        </w:rPr>
        <w:t>physical and transition risks</w:t>
      </w:r>
      <w:r w:rsidR="00655E99">
        <w:rPr>
          <w:rFonts w:asciiTheme="majorBidi" w:eastAsia="Times New Roman" w:hAnsiTheme="majorBidi" w:cstheme="majorBidi"/>
          <w:sz w:val="24"/>
          <w:szCs w:val="24"/>
          <w:lang w:val="en-US" w:eastAsia="fr-FR" w:bidi="he-IL"/>
        </w:rPr>
        <w:t xml:space="preserve">, and </w:t>
      </w:r>
      <w:r w:rsidR="00A95704" w:rsidRPr="00D806D9">
        <w:rPr>
          <w:rFonts w:asciiTheme="majorBidi" w:eastAsia="Times New Roman" w:hAnsiTheme="majorBidi" w:cstheme="majorBidi"/>
          <w:sz w:val="24"/>
          <w:szCs w:val="24"/>
          <w:lang w:val="en-US" w:eastAsia="fr-FR" w:bidi="he-IL"/>
        </w:rPr>
        <w:t xml:space="preserve">risk transmission channels </w:t>
      </w:r>
      <w:r w:rsidRPr="00D806D9">
        <w:rPr>
          <w:rFonts w:asciiTheme="majorBidi" w:eastAsia="Times New Roman" w:hAnsiTheme="majorBidi" w:cstheme="majorBidi"/>
          <w:sz w:val="24"/>
          <w:szCs w:val="24"/>
          <w:lang w:val="en-US" w:eastAsia="fr-FR" w:bidi="he-IL"/>
        </w:rPr>
        <w:t>climate change</w:t>
      </w:r>
      <w:r w:rsidR="00A95704" w:rsidRPr="00D806D9">
        <w:rPr>
          <w:rFonts w:asciiTheme="majorBidi" w:eastAsia="Times New Roman" w:hAnsiTheme="majorBidi" w:cstheme="majorBidi"/>
          <w:sz w:val="24"/>
          <w:szCs w:val="24"/>
          <w:lang w:val="en-US" w:eastAsia="fr-FR" w:bidi="he-IL"/>
        </w:rPr>
        <w:t xml:space="preserve"> impl</w:t>
      </w:r>
      <w:r w:rsidRPr="00D806D9">
        <w:rPr>
          <w:rFonts w:asciiTheme="majorBidi" w:eastAsia="Times New Roman" w:hAnsiTheme="majorBidi" w:cstheme="majorBidi"/>
          <w:sz w:val="24"/>
          <w:szCs w:val="24"/>
          <w:lang w:val="en-US" w:eastAsia="fr-FR" w:bidi="he-IL"/>
        </w:rPr>
        <w:t>ies</w:t>
      </w:r>
      <w:r w:rsidR="00A95704" w:rsidRPr="00D806D9">
        <w:rPr>
          <w:rFonts w:asciiTheme="majorBidi" w:eastAsia="Times New Roman" w:hAnsiTheme="majorBidi" w:cstheme="majorBidi"/>
          <w:sz w:val="24"/>
          <w:szCs w:val="24"/>
          <w:lang w:val="en-US" w:eastAsia="fr-FR" w:bidi="he-IL"/>
        </w:rPr>
        <w:t xml:space="preserve"> (Köberle et al., 2021). </w:t>
      </w:r>
      <w:r w:rsidR="00BE38F2" w:rsidRPr="00D806D9">
        <w:rPr>
          <w:rFonts w:asciiTheme="majorBidi" w:eastAsia="Times New Roman" w:hAnsiTheme="majorBidi" w:cstheme="majorBidi"/>
          <w:sz w:val="24"/>
          <w:szCs w:val="24"/>
          <w:lang w:val="en-US" w:eastAsia="fr-FR" w:bidi="he-IL"/>
        </w:rPr>
        <w:t>In 2019, the EU represented the third largest emitter globally</w:t>
      </w:r>
      <w:r w:rsidR="006036F1" w:rsidRPr="00D806D9">
        <w:rPr>
          <w:rFonts w:asciiTheme="majorBidi" w:eastAsia="Times New Roman" w:hAnsiTheme="majorBidi" w:cstheme="majorBidi"/>
          <w:sz w:val="24"/>
          <w:szCs w:val="24"/>
          <w:lang w:val="en-US" w:eastAsia="fr-FR" w:bidi="he-IL"/>
        </w:rPr>
        <w:t xml:space="preserve"> (EC, 2019</w:t>
      </w:r>
      <w:r w:rsidR="000E5647" w:rsidRPr="00D806D9">
        <w:rPr>
          <w:rFonts w:asciiTheme="majorBidi" w:eastAsia="Times New Roman" w:hAnsiTheme="majorBidi" w:cstheme="majorBidi"/>
          <w:sz w:val="24"/>
          <w:szCs w:val="24"/>
          <w:lang w:val="en-US" w:eastAsia="fr-FR" w:bidi="he-IL"/>
        </w:rPr>
        <w:t>a</w:t>
      </w:r>
      <w:r w:rsidR="006036F1" w:rsidRPr="00D806D9">
        <w:rPr>
          <w:rFonts w:asciiTheme="majorBidi" w:eastAsia="Times New Roman" w:hAnsiTheme="majorBidi" w:cstheme="majorBidi"/>
          <w:sz w:val="24"/>
          <w:szCs w:val="24"/>
          <w:lang w:val="en-US" w:eastAsia="fr-FR" w:bidi="he-IL"/>
        </w:rPr>
        <w:t>)</w:t>
      </w:r>
      <w:r w:rsidR="00BE38F2" w:rsidRPr="00D806D9">
        <w:rPr>
          <w:rFonts w:asciiTheme="majorBidi" w:eastAsia="Times New Roman" w:hAnsiTheme="majorBidi" w:cstheme="majorBidi"/>
          <w:sz w:val="24"/>
          <w:szCs w:val="24"/>
          <w:lang w:val="en-US" w:eastAsia="fr-FR" w:bidi="he-IL"/>
        </w:rPr>
        <w:t xml:space="preserve">. </w:t>
      </w:r>
      <w:r w:rsidR="00A95704" w:rsidRPr="00D806D9">
        <w:rPr>
          <w:rFonts w:asciiTheme="majorBidi" w:eastAsia="Times New Roman" w:hAnsiTheme="majorBidi" w:cstheme="majorBidi"/>
          <w:sz w:val="24"/>
          <w:szCs w:val="24"/>
          <w:lang w:val="en-US" w:eastAsia="fr-FR" w:bidi="he-IL"/>
        </w:rPr>
        <w:t xml:space="preserve">To avoid triggering positive climate </w:t>
      </w:r>
      <w:r w:rsidR="005E06F5">
        <w:rPr>
          <w:rFonts w:asciiTheme="majorBidi" w:eastAsia="Times New Roman" w:hAnsiTheme="majorBidi" w:cstheme="majorBidi"/>
          <w:sz w:val="24"/>
          <w:szCs w:val="24"/>
          <w:lang w:val="en-US" w:eastAsia="fr-FR" w:bidi="he-IL"/>
        </w:rPr>
        <w:t>feedback</w:t>
      </w:r>
      <w:r w:rsidR="00A95704" w:rsidRPr="00D806D9">
        <w:rPr>
          <w:rFonts w:asciiTheme="majorBidi" w:eastAsia="Times New Roman" w:hAnsiTheme="majorBidi" w:cstheme="majorBidi"/>
          <w:sz w:val="24"/>
          <w:szCs w:val="24"/>
          <w:lang w:val="en-US" w:eastAsia="fr-FR" w:bidi="he-IL"/>
        </w:rPr>
        <w:t xml:space="preserve">, reaching tipping points (see IPCC, 2021 for definitions), and </w:t>
      </w:r>
      <w:r w:rsidR="005E06F5">
        <w:rPr>
          <w:rFonts w:asciiTheme="majorBidi" w:eastAsia="Times New Roman" w:hAnsiTheme="majorBidi" w:cstheme="majorBidi"/>
          <w:sz w:val="24"/>
          <w:szCs w:val="24"/>
          <w:lang w:val="en-US" w:eastAsia="fr-FR" w:bidi="he-IL"/>
        </w:rPr>
        <w:t>limiting</w:t>
      </w:r>
      <w:r w:rsidR="00A95704" w:rsidRPr="00D806D9">
        <w:rPr>
          <w:rFonts w:asciiTheme="majorBidi" w:eastAsia="Times New Roman" w:hAnsiTheme="majorBidi" w:cstheme="majorBidi"/>
          <w:sz w:val="24"/>
          <w:szCs w:val="24"/>
          <w:lang w:val="en-US" w:eastAsia="fr-FR" w:bidi="he-IL"/>
        </w:rPr>
        <w:t xml:space="preserve"> undesirable consequences, the PA was concluded in 2015. It aims </w:t>
      </w:r>
      <w:r w:rsidR="009A2D37" w:rsidRPr="00D806D9">
        <w:rPr>
          <w:rFonts w:asciiTheme="majorBidi" w:eastAsia="Times New Roman" w:hAnsiTheme="majorBidi" w:cstheme="majorBidi"/>
          <w:sz w:val="24"/>
          <w:szCs w:val="24"/>
          <w:lang w:val="en-US" w:eastAsia="fr-FR" w:bidi="he-IL"/>
        </w:rPr>
        <w:t>at</w:t>
      </w:r>
      <w:r w:rsidR="00A95704" w:rsidRPr="00D806D9">
        <w:rPr>
          <w:rFonts w:asciiTheme="majorBidi" w:eastAsia="Times New Roman" w:hAnsiTheme="majorBidi" w:cstheme="majorBidi"/>
          <w:sz w:val="24"/>
          <w:szCs w:val="24"/>
          <w:lang w:val="en-US" w:eastAsia="fr-FR" w:bidi="he-IL"/>
        </w:rPr>
        <w:t xml:space="preserve"> strengthen</w:t>
      </w:r>
      <w:r w:rsidR="009A2D37" w:rsidRPr="00D806D9">
        <w:rPr>
          <w:rFonts w:asciiTheme="majorBidi" w:eastAsia="Times New Roman" w:hAnsiTheme="majorBidi" w:cstheme="majorBidi"/>
          <w:sz w:val="24"/>
          <w:szCs w:val="24"/>
          <w:lang w:val="en-US" w:eastAsia="fr-FR" w:bidi="he-IL"/>
        </w:rPr>
        <w:t>ing</w:t>
      </w:r>
      <w:r w:rsidR="00A95704" w:rsidRPr="00D806D9">
        <w:rPr>
          <w:rFonts w:asciiTheme="majorBidi" w:eastAsia="Times New Roman" w:hAnsiTheme="majorBidi" w:cstheme="majorBidi"/>
          <w:sz w:val="24"/>
          <w:szCs w:val="24"/>
          <w:lang w:val="en-US" w:eastAsia="fr-FR" w:bidi="he-IL"/>
        </w:rPr>
        <w:t xml:space="preserve"> States Parties’ actions to hold "the increase in global average temperature to well below 2°C above pre-industrial levels and pursuing efforts to limit the temperature increase to 1.5°C above pre-industrial levels, recognizing that this would significantly reduce the risks and impacts of climate change” (UN, 2015)</w:t>
      </w:r>
      <w:r w:rsidR="004A2B9B" w:rsidRPr="00D806D9">
        <w:rPr>
          <w:rFonts w:asciiTheme="majorBidi" w:eastAsia="Times New Roman" w:hAnsiTheme="majorBidi" w:cstheme="majorBidi"/>
          <w:sz w:val="24"/>
          <w:szCs w:val="24"/>
          <w:lang w:val="en-US" w:eastAsia="fr-FR" w:bidi="he-IL"/>
        </w:rPr>
        <w:t xml:space="preserve">. Under this internationally </w:t>
      </w:r>
      <w:r w:rsidR="005E06F5">
        <w:rPr>
          <w:rFonts w:asciiTheme="majorBidi" w:eastAsia="Times New Roman" w:hAnsiTheme="majorBidi" w:cstheme="majorBidi"/>
          <w:sz w:val="24"/>
          <w:szCs w:val="24"/>
          <w:lang w:val="en-US" w:eastAsia="fr-FR" w:bidi="he-IL"/>
        </w:rPr>
        <w:t>binding</w:t>
      </w:r>
      <w:r w:rsidR="004A2B9B" w:rsidRPr="00D806D9">
        <w:rPr>
          <w:rFonts w:asciiTheme="majorBidi" w:eastAsia="Times New Roman" w:hAnsiTheme="majorBidi" w:cstheme="majorBidi"/>
          <w:sz w:val="24"/>
          <w:szCs w:val="24"/>
          <w:lang w:val="en-US" w:eastAsia="fr-FR" w:bidi="he-IL"/>
        </w:rPr>
        <w:t xml:space="preserve"> legal agreement, </w:t>
      </w:r>
      <w:r w:rsidR="00A95704" w:rsidRPr="00D806D9">
        <w:rPr>
          <w:rFonts w:asciiTheme="majorBidi" w:eastAsia="Times New Roman" w:hAnsiTheme="majorBidi" w:cstheme="majorBidi"/>
          <w:sz w:val="24"/>
          <w:szCs w:val="24"/>
          <w:lang w:val="en-US" w:eastAsia="fr-FR" w:bidi="he-IL"/>
        </w:rPr>
        <w:t>carbon neutrality from anthropogenic sources</w:t>
      </w:r>
      <w:r w:rsidR="004A2B9B" w:rsidRPr="00D806D9">
        <w:rPr>
          <w:rFonts w:asciiTheme="majorBidi" w:eastAsia="Times New Roman" w:hAnsiTheme="majorBidi" w:cstheme="majorBidi"/>
          <w:sz w:val="24"/>
          <w:szCs w:val="24"/>
          <w:lang w:val="en-US" w:eastAsia="fr-FR" w:bidi="he-IL"/>
        </w:rPr>
        <w:t xml:space="preserve"> should be reached</w:t>
      </w:r>
      <w:r w:rsidR="00A95704" w:rsidRPr="00D806D9">
        <w:rPr>
          <w:rFonts w:asciiTheme="majorBidi" w:eastAsia="Times New Roman" w:hAnsiTheme="majorBidi" w:cstheme="majorBidi"/>
          <w:sz w:val="24"/>
          <w:szCs w:val="24"/>
          <w:lang w:val="en-US" w:eastAsia="fr-FR" w:bidi="he-IL"/>
        </w:rPr>
        <w:t xml:space="preserve"> in the second half of the 21st century.</w:t>
      </w:r>
    </w:p>
    <w:p w14:paraId="7C8CA8F2" w14:textId="78A3EA44" w:rsidR="00A95704" w:rsidRPr="00D806D9" w:rsidRDefault="00A95704" w:rsidP="00D806D9">
      <w:pPr>
        <w:autoSpaceDE w:val="0"/>
        <w:autoSpaceDN w:val="0"/>
        <w:adjustRightInd w:val="0"/>
        <w:spacing w:after="0" w:line="480" w:lineRule="auto"/>
        <w:ind w:firstLine="708"/>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Simultaneously, the C</w:t>
      </w:r>
      <w:r w:rsidR="00655E99">
        <w:rPr>
          <w:rFonts w:asciiTheme="majorBidi" w:eastAsia="Times New Roman" w:hAnsiTheme="majorBidi" w:cstheme="majorBidi"/>
          <w:sz w:val="24"/>
          <w:szCs w:val="24"/>
          <w:lang w:val="en-US" w:eastAsia="fr-FR" w:bidi="he-IL"/>
        </w:rPr>
        <w:t>OVID</w:t>
      </w:r>
      <w:r w:rsidRPr="00D806D9">
        <w:rPr>
          <w:rFonts w:asciiTheme="majorBidi" w:eastAsia="Times New Roman" w:hAnsiTheme="majorBidi" w:cstheme="majorBidi"/>
          <w:sz w:val="24"/>
          <w:szCs w:val="24"/>
          <w:lang w:val="en-US" w:eastAsia="fr-FR" w:bidi="he-IL"/>
        </w:rPr>
        <w:t xml:space="preserve">-19 pandemic crisis has led to </w:t>
      </w:r>
      <w:r w:rsidR="005E06F5">
        <w:rPr>
          <w:rFonts w:asciiTheme="majorBidi" w:eastAsia="Times New Roman" w:hAnsiTheme="majorBidi" w:cstheme="majorBidi"/>
          <w:sz w:val="24"/>
          <w:szCs w:val="24"/>
          <w:lang w:val="en-US" w:eastAsia="fr-FR" w:bidi="he-IL"/>
        </w:rPr>
        <w:t>a</w:t>
      </w:r>
      <w:r w:rsidRPr="00D806D9">
        <w:rPr>
          <w:rFonts w:asciiTheme="majorBidi" w:eastAsia="Times New Roman" w:hAnsiTheme="majorBidi" w:cstheme="majorBidi"/>
          <w:sz w:val="24"/>
          <w:szCs w:val="24"/>
          <w:lang w:val="en-US" w:eastAsia="fr-FR" w:bidi="he-IL"/>
        </w:rPr>
        <w:t xml:space="preserve"> historic recession, </w:t>
      </w:r>
      <w:r w:rsidR="005E06F5">
        <w:rPr>
          <w:rFonts w:asciiTheme="majorBidi" w:eastAsia="Times New Roman" w:hAnsiTheme="majorBidi" w:cstheme="majorBidi"/>
          <w:sz w:val="24"/>
          <w:szCs w:val="24"/>
          <w:lang w:val="en-US" w:eastAsia="fr-FR" w:bidi="he-IL"/>
        </w:rPr>
        <w:t xml:space="preserve">with </w:t>
      </w:r>
      <w:r w:rsidRPr="00D806D9">
        <w:rPr>
          <w:rFonts w:asciiTheme="majorBidi" w:eastAsia="Times New Roman" w:hAnsiTheme="majorBidi" w:cstheme="majorBidi"/>
          <w:sz w:val="24"/>
          <w:szCs w:val="24"/>
          <w:lang w:val="en-US" w:eastAsia="fr-FR" w:bidi="he-IL"/>
        </w:rPr>
        <w:t>the EU economy contracting by 6.3% in 2020 (OECD, 2021)</w:t>
      </w:r>
      <w:r w:rsidR="00044033" w:rsidRPr="00D806D9">
        <w:rPr>
          <w:rFonts w:asciiTheme="majorBidi" w:eastAsia="Times New Roman" w:hAnsiTheme="majorBidi" w:cstheme="majorBidi"/>
          <w:sz w:val="24"/>
          <w:szCs w:val="24"/>
          <w:lang w:val="en-US" w:eastAsia="fr-FR" w:bidi="he-IL"/>
        </w:rPr>
        <w:t xml:space="preserve"> having a </w:t>
      </w:r>
      <w:r w:rsidRPr="00D806D9">
        <w:rPr>
          <w:rFonts w:asciiTheme="majorBidi" w:eastAsia="Times New Roman" w:hAnsiTheme="majorBidi" w:cstheme="majorBidi"/>
          <w:sz w:val="24"/>
          <w:szCs w:val="24"/>
          <w:lang w:val="en-US" w:eastAsia="fr-FR" w:bidi="he-IL"/>
        </w:rPr>
        <w:t xml:space="preserve">negligible effect on long-term </w:t>
      </w:r>
      <w:r w:rsidR="00984A7D" w:rsidRPr="00D806D9">
        <w:rPr>
          <w:rFonts w:asciiTheme="majorBidi" w:eastAsia="Times New Roman" w:hAnsiTheme="majorBidi" w:cstheme="majorBidi"/>
          <w:sz w:val="24"/>
          <w:szCs w:val="24"/>
          <w:lang w:val="en-US" w:eastAsia="fr-FR" w:bidi="he-IL"/>
        </w:rPr>
        <w:t xml:space="preserve">climate </w:t>
      </w:r>
      <w:r w:rsidRPr="00D806D9">
        <w:rPr>
          <w:rFonts w:asciiTheme="majorBidi" w:eastAsia="Times New Roman" w:hAnsiTheme="majorBidi" w:cstheme="majorBidi"/>
          <w:sz w:val="24"/>
          <w:szCs w:val="24"/>
          <w:lang w:val="en-US" w:eastAsia="fr-FR" w:bidi="he-IL"/>
        </w:rPr>
        <w:t>trends (Forster et al., 2020). In August 2021, the IPCC declared that</w:t>
      </w:r>
      <w:r w:rsidR="00F120FC" w:rsidRPr="00D806D9">
        <w:rPr>
          <w:rFonts w:asciiTheme="majorBidi" w:eastAsia="Times New Roman" w:hAnsiTheme="majorBidi" w:cstheme="majorBidi"/>
          <w:sz w:val="24"/>
          <w:szCs w:val="24"/>
          <w:lang w:val="en-US" w:eastAsia="fr-FR" w:bidi="he-IL"/>
        </w:rPr>
        <w:t xml:space="preserve"> “without immediate and deep emission reductions across all sectors, limiting global warming to 1.5°C is beyond reach.</w:t>
      </w:r>
      <w:r w:rsidRPr="00D806D9">
        <w:rPr>
          <w:rFonts w:asciiTheme="majorBidi" w:eastAsia="Times New Roman" w:hAnsiTheme="majorBidi" w:cstheme="majorBidi"/>
          <w:sz w:val="24"/>
          <w:szCs w:val="24"/>
          <w:lang w:val="en-US" w:eastAsia="fr-FR" w:bidi="he-IL"/>
        </w:rPr>
        <w:t>" (IPCC, 202</w:t>
      </w:r>
      <w:r w:rsidR="00F120FC" w:rsidRPr="00D806D9">
        <w:rPr>
          <w:rFonts w:asciiTheme="majorBidi" w:eastAsia="Times New Roman" w:hAnsiTheme="majorBidi" w:cstheme="majorBidi"/>
          <w:sz w:val="24"/>
          <w:szCs w:val="24"/>
          <w:lang w:val="en-US" w:eastAsia="fr-FR" w:bidi="he-IL"/>
        </w:rPr>
        <w:t>2</w:t>
      </w:r>
      <w:r w:rsidRPr="00D806D9">
        <w:rPr>
          <w:rFonts w:asciiTheme="majorBidi" w:eastAsia="Times New Roman" w:hAnsiTheme="majorBidi" w:cstheme="majorBidi"/>
          <w:sz w:val="24"/>
          <w:szCs w:val="24"/>
          <w:lang w:val="en-US" w:eastAsia="fr-FR" w:bidi="he-IL"/>
        </w:rPr>
        <w:t xml:space="preserve">b) </w:t>
      </w:r>
      <w:r w:rsidR="00F420E2" w:rsidRPr="00D806D9">
        <w:rPr>
          <w:rFonts w:asciiTheme="majorBidi" w:eastAsia="Times New Roman" w:hAnsiTheme="majorBidi" w:cstheme="majorBidi"/>
          <w:sz w:val="24"/>
          <w:szCs w:val="24"/>
          <w:lang w:val="en-US" w:eastAsia="fr-FR" w:bidi="he-IL"/>
        </w:rPr>
        <w:t>Thus, t</w:t>
      </w:r>
      <w:r w:rsidRPr="00D806D9">
        <w:rPr>
          <w:rFonts w:asciiTheme="majorBidi" w:eastAsia="Times New Roman" w:hAnsiTheme="majorBidi" w:cstheme="majorBidi"/>
          <w:sz w:val="24"/>
          <w:szCs w:val="24"/>
          <w:lang w:val="en-US" w:eastAsia="fr-FR" w:bidi="he-IL"/>
        </w:rPr>
        <w:t xml:space="preserve">he need to revive economic activity has been combined with climate objectives in recovery plans </w:t>
      </w:r>
      <w:r w:rsidR="00F420E2" w:rsidRPr="00D806D9">
        <w:rPr>
          <w:rFonts w:asciiTheme="majorBidi" w:eastAsia="Times New Roman" w:hAnsiTheme="majorBidi" w:cstheme="majorBidi"/>
          <w:sz w:val="24"/>
          <w:szCs w:val="24"/>
          <w:lang w:val="en-US" w:eastAsia="fr-FR" w:bidi="he-IL"/>
        </w:rPr>
        <w:t xml:space="preserve">presented at both </w:t>
      </w:r>
      <w:r w:rsidR="005E06F5">
        <w:rPr>
          <w:rFonts w:asciiTheme="majorBidi" w:eastAsia="Times New Roman" w:hAnsiTheme="majorBidi" w:cstheme="majorBidi"/>
          <w:sz w:val="24"/>
          <w:szCs w:val="24"/>
          <w:lang w:val="en-US" w:eastAsia="fr-FR" w:bidi="he-IL"/>
        </w:rPr>
        <w:t xml:space="preserve">the </w:t>
      </w:r>
      <w:r w:rsidR="00F420E2" w:rsidRPr="00D806D9">
        <w:rPr>
          <w:rFonts w:asciiTheme="majorBidi" w:eastAsia="Times New Roman" w:hAnsiTheme="majorBidi" w:cstheme="majorBidi"/>
          <w:sz w:val="24"/>
          <w:szCs w:val="24"/>
          <w:lang w:val="en-US" w:eastAsia="fr-FR" w:bidi="he-IL"/>
        </w:rPr>
        <w:t>national (</w:t>
      </w:r>
      <w:r w:rsidR="00C37CF2" w:rsidRPr="00D806D9">
        <w:rPr>
          <w:rFonts w:asciiTheme="majorBidi" w:eastAsia="Times New Roman" w:hAnsiTheme="majorBidi" w:cstheme="majorBidi"/>
          <w:sz w:val="24"/>
          <w:szCs w:val="24"/>
          <w:lang w:val="en-US" w:eastAsia="fr-FR" w:bidi="he-IL"/>
        </w:rPr>
        <w:t>e.g.,</w:t>
      </w:r>
      <w:r w:rsidR="00F420E2" w:rsidRPr="00D806D9">
        <w:rPr>
          <w:rFonts w:asciiTheme="majorBidi" w:eastAsia="Times New Roman" w:hAnsiTheme="majorBidi" w:cstheme="majorBidi"/>
          <w:sz w:val="24"/>
          <w:szCs w:val="24"/>
          <w:lang w:val="en-US" w:eastAsia="fr-FR" w:bidi="he-IL"/>
        </w:rPr>
        <w:t xml:space="preserve"> </w:t>
      </w:r>
      <w:r w:rsidR="00F420E2" w:rsidRPr="00C4399A">
        <w:rPr>
          <w:rFonts w:asciiTheme="majorBidi" w:eastAsia="Times New Roman" w:hAnsiTheme="majorBidi" w:cstheme="majorBidi"/>
          <w:i/>
          <w:iCs/>
          <w:sz w:val="24"/>
          <w:szCs w:val="24"/>
          <w:lang w:val="en-US" w:eastAsia="fr-FR" w:bidi="he-IL"/>
        </w:rPr>
        <w:t>France Relance</w:t>
      </w:r>
      <w:r w:rsidR="00F420E2" w:rsidRPr="00D806D9">
        <w:rPr>
          <w:rFonts w:asciiTheme="majorBidi" w:eastAsia="Times New Roman" w:hAnsiTheme="majorBidi" w:cstheme="majorBidi"/>
          <w:sz w:val="24"/>
          <w:szCs w:val="24"/>
          <w:lang w:val="en-US" w:eastAsia="fr-FR" w:bidi="he-IL"/>
        </w:rPr>
        <w:t xml:space="preserve">) and European </w:t>
      </w:r>
      <w:r w:rsidR="005E06F5">
        <w:rPr>
          <w:rFonts w:asciiTheme="majorBidi" w:eastAsia="Times New Roman" w:hAnsiTheme="majorBidi" w:cstheme="majorBidi"/>
          <w:sz w:val="24"/>
          <w:szCs w:val="24"/>
          <w:lang w:val="en-US" w:eastAsia="fr-FR" w:bidi="he-IL"/>
        </w:rPr>
        <w:t>levels</w:t>
      </w:r>
      <w:r w:rsidR="00F420E2" w:rsidRPr="00D806D9">
        <w:rPr>
          <w:rFonts w:asciiTheme="majorBidi" w:eastAsia="Times New Roman" w:hAnsiTheme="majorBidi" w:cstheme="majorBidi"/>
          <w:sz w:val="24"/>
          <w:szCs w:val="24"/>
          <w:lang w:val="en-US" w:eastAsia="fr-FR" w:bidi="he-IL"/>
        </w:rPr>
        <w:t xml:space="preserve"> (</w:t>
      </w:r>
      <w:r w:rsidR="00C37CF2" w:rsidRPr="00D806D9">
        <w:rPr>
          <w:rFonts w:asciiTheme="majorBidi" w:eastAsia="Times New Roman" w:hAnsiTheme="majorBidi" w:cstheme="majorBidi"/>
          <w:sz w:val="24"/>
          <w:szCs w:val="24"/>
          <w:lang w:val="en-US" w:eastAsia="fr-FR" w:bidi="he-IL"/>
        </w:rPr>
        <w:t>e.g.,</w:t>
      </w:r>
      <w:r w:rsidR="00044033" w:rsidRPr="00D806D9">
        <w:rPr>
          <w:rFonts w:asciiTheme="majorBidi" w:eastAsia="Times New Roman" w:hAnsiTheme="majorBidi" w:cstheme="majorBidi"/>
          <w:sz w:val="24"/>
          <w:szCs w:val="24"/>
          <w:lang w:val="en-US" w:eastAsia="fr-FR" w:bidi="he-IL"/>
        </w:rPr>
        <w:t xml:space="preserve"> </w:t>
      </w:r>
      <w:proofErr w:type="spellStart"/>
      <w:r w:rsidRPr="00D806D9">
        <w:rPr>
          <w:rFonts w:asciiTheme="majorBidi" w:eastAsia="Times New Roman" w:hAnsiTheme="majorBidi" w:cstheme="majorBidi"/>
          <w:sz w:val="24"/>
          <w:szCs w:val="24"/>
          <w:lang w:val="en-US" w:eastAsia="fr-FR" w:bidi="he-IL"/>
        </w:rPr>
        <w:t>NextGeneration</w:t>
      </w:r>
      <w:proofErr w:type="spellEnd"/>
      <w:r w:rsidRPr="00D806D9">
        <w:rPr>
          <w:rFonts w:asciiTheme="majorBidi" w:eastAsia="Times New Roman" w:hAnsiTheme="majorBidi" w:cstheme="majorBidi"/>
          <w:sz w:val="24"/>
          <w:szCs w:val="24"/>
          <w:lang w:val="en-US" w:eastAsia="fr-FR" w:bidi="he-IL"/>
        </w:rPr>
        <w:t xml:space="preserve"> EU</w:t>
      </w:r>
      <w:r w:rsidR="00F420E2"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w:t>
      </w:r>
      <w:r w:rsidR="00F420E2" w:rsidRPr="00D806D9">
        <w:rPr>
          <w:rFonts w:asciiTheme="majorBidi" w:eastAsia="Times New Roman" w:hAnsiTheme="majorBidi" w:cstheme="majorBidi"/>
          <w:sz w:val="24"/>
          <w:szCs w:val="24"/>
          <w:lang w:val="en-US" w:eastAsia="fr-FR" w:bidi="he-IL"/>
        </w:rPr>
        <w:t xml:space="preserve"> </w:t>
      </w:r>
      <w:r w:rsidR="00E35AA7" w:rsidRPr="00D806D9">
        <w:rPr>
          <w:rFonts w:asciiTheme="majorBidi" w:eastAsia="Times New Roman" w:hAnsiTheme="majorBidi" w:cstheme="majorBidi"/>
          <w:sz w:val="24"/>
          <w:szCs w:val="24"/>
          <w:lang w:val="en-US" w:eastAsia="fr-FR" w:bidi="he-IL"/>
        </w:rPr>
        <w:t xml:space="preserve">Further, </w:t>
      </w:r>
      <w:r w:rsidR="00F47190" w:rsidRPr="00D806D9">
        <w:rPr>
          <w:rFonts w:asciiTheme="majorBidi" w:eastAsia="Times New Roman" w:hAnsiTheme="majorBidi" w:cstheme="majorBidi"/>
          <w:sz w:val="24"/>
          <w:szCs w:val="24"/>
          <w:lang w:val="en-US" w:eastAsia="fr-FR" w:bidi="he-IL"/>
        </w:rPr>
        <w:t xml:space="preserve">reinforcing its Green New Deal ambitions, </w:t>
      </w:r>
      <w:r w:rsidR="00E35AA7" w:rsidRPr="00D806D9">
        <w:rPr>
          <w:rFonts w:asciiTheme="majorBidi" w:eastAsia="Times New Roman" w:hAnsiTheme="majorBidi" w:cstheme="majorBidi"/>
          <w:sz w:val="24"/>
          <w:szCs w:val="24"/>
          <w:lang w:val="en-US" w:eastAsia="fr-FR" w:bidi="he-IL"/>
        </w:rPr>
        <w:t>t</w:t>
      </w:r>
      <w:r w:rsidRPr="00D806D9">
        <w:rPr>
          <w:rFonts w:asciiTheme="majorBidi" w:eastAsia="Times New Roman" w:hAnsiTheme="majorBidi" w:cstheme="majorBidi"/>
          <w:sz w:val="24"/>
          <w:szCs w:val="24"/>
          <w:lang w:val="en-US" w:eastAsia="fr-FR" w:bidi="he-IL"/>
        </w:rPr>
        <w:t xml:space="preserve">he </w:t>
      </w:r>
      <w:r w:rsidR="00F47190" w:rsidRPr="00D806D9">
        <w:rPr>
          <w:rFonts w:asciiTheme="majorBidi" w:eastAsia="Times New Roman" w:hAnsiTheme="majorBidi" w:cstheme="majorBidi"/>
          <w:sz w:val="24"/>
          <w:szCs w:val="24"/>
          <w:lang w:val="en-US" w:eastAsia="fr-FR" w:bidi="he-IL"/>
        </w:rPr>
        <w:t xml:space="preserve">EC </w:t>
      </w:r>
      <w:r w:rsidR="005E06F5">
        <w:rPr>
          <w:rFonts w:asciiTheme="majorBidi" w:eastAsia="Times New Roman" w:hAnsiTheme="majorBidi" w:cstheme="majorBidi"/>
          <w:sz w:val="24"/>
          <w:szCs w:val="24"/>
          <w:lang w:val="en-US" w:eastAsia="fr-FR" w:bidi="he-IL"/>
        </w:rPr>
        <w:t>has</w:t>
      </w:r>
      <w:r w:rsidR="00F47190" w:rsidRPr="00D806D9">
        <w:rPr>
          <w:rFonts w:asciiTheme="majorBidi" w:eastAsia="Times New Roman" w:hAnsiTheme="majorBidi" w:cstheme="majorBidi"/>
          <w:sz w:val="24"/>
          <w:szCs w:val="24"/>
          <w:lang w:val="en-US" w:eastAsia="fr-FR" w:bidi="he-IL"/>
        </w:rPr>
        <w:t xml:space="preserve"> proposed </w:t>
      </w:r>
      <w:r w:rsidR="00540C33">
        <w:rPr>
          <w:rFonts w:asciiTheme="majorBidi" w:eastAsia="Times New Roman" w:hAnsiTheme="majorBidi" w:cstheme="majorBidi"/>
          <w:sz w:val="24"/>
          <w:szCs w:val="24"/>
          <w:lang w:val="en-US" w:eastAsia="fr-FR" w:bidi="he-IL"/>
        </w:rPr>
        <w:t>cutting</w:t>
      </w:r>
      <w:r w:rsidRPr="00D806D9">
        <w:rPr>
          <w:rFonts w:asciiTheme="majorBidi" w:eastAsia="Times New Roman" w:hAnsiTheme="majorBidi" w:cstheme="majorBidi"/>
          <w:sz w:val="24"/>
          <w:szCs w:val="24"/>
          <w:lang w:val="en-US" w:eastAsia="fr-FR" w:bidi="he-IL"/>
        </w:rPr>
        <w:t xml:space="preserve"> </w:t>
      </w:r>
      <w:r w:rsidR="005E06F5">
        <w:rPr>
          <w:rFonts w:asciiTheme="majorBidi" w:eastAsia="Times New Roman" w:hAnsiTheme="majorBidi" w:cstheme="majorBidi"/>
          <w:sz w:val="24"/>
          <w:szCs w:val="24"/>
          <w:lang w:val="en-US" w:eastAsia="fr-FR" w:bidi="he-IL"/>
        </w:rPr>
        <w:t xml:space="preserve">the </w:t>
      </w:r>
      <w:r w:rsidR="00F47190" w:rsidRPr="00D806D9">
        <w:rPr>
          <w:rFonts w:asciiTheme="majorBidi" w:eastAsia="Times New Roman" w:hAnsiTheme="majorBidi" w:cstheme="majorBidi"/>
          <w:sz w:val="24"/>
          <w:szCs w:val="24"/>
          <w:lang w:val="en-US" w:eastAsia="fr-FR" w:bidi="he-IL"/>
        </w:rPr>
        <w:t>EU’s</w:t>
      </w:r>
      <w:r w:rsidRPr="00D806D9">
        <w:rPr>
          <w:rFonts w:asciiTheme="majorBidi" w:eastAsia="Times New Roman" w:hAnsiTheme="majorBidi" w:cstheme="majorBidi"/>
          <w:sz w:val="24"/>
          <w:szCs w:val="24"/>
          <w:lang w:val="en-US" w:eastAsia="fr-FR" w:bidi="he-IL"/>
        </w:rPr>
        <w:t xml:space="preserve"> GHGE by 55% by 2030 and achieve carbon neutrality by 2050</w:t>
      </w:r>
      <w:r w:rsidR="00E35AA7" w:rsidRPr="00D806D9">
        <w:rPr>
          <w:rFonts w:asciiTheme="majorBidi" w:eastAsia="Times New Roman" w:hAnsiTheme="majorBidi" w:cstheme="majorBidi"/>
          <w:sz w:val="24"/>
          <w:szCs w:val="24"/>
          <w:lang w:val="en-US" w:eastAsia="fr-FR" w:bidi="he-IL"/>
        </w:rPr>
        <w:t xml:space="preserve"> </w:t>
      </w:r>
      <w:r w:rsidR="00F47190" w:rsidRPr="00D806D9">
        <w:rPr>
          <w:rFonts w:asciiTheme="majorBidi" w:eastAsia="Times New Roman" w:hAnsiTheme="majorBidi" w:cstheme="majorBidi"/>
          <w:sz w:val="24"/>
          <w:szCs w:val="24"/>
          <w:lang w:val="en-US" w:eastAsia="fr-FR" w:bidi="he-IL"/>
        </w:rPr>
        <w:t>through</w:t>
      </w:r>
      <w:r w:rsidR="00E35AA7" w:rsidRPr="00D806D9">
        <w:rPr>
          <w:rFonts w:asciiTheme="majorBidi" w:eastAsia="Times New Roman" w:hAnsiTheme="majorBidi" w:cstheme="majorBidi"/>
          <w:sz w:val="24"/>
          <w:szCs w:val="24"/>
          <w:lang w:val="en-US" w:eastAsia="fr-FR" w:bidi="he-IL"/>
        </w:rPr>
        <w:t xml:space="preserve"> its “Fit for 55” legislative package examined under </w:t>
      </w:r>
      <w:r w:rsidR="00540C33">
        <w:rPr>
          <w:rFonts w:asciiTheme="majorBidi" w:eastAsia="Times New Roman" w:hAnsiTheme="majorBidi" w:cstheme="majorBidi"/>
          <w:sz w:val="24"/>
          <w:szCs w:val="24"/>
          <w:lang w:val="en-US" w:eastAsia="fr-FR" w:bidi="he-IL"/>
        </w:rPr>
        <w:t xml:space="preserve">an </w:t>
      </w:r>
      <w:r w:rsidR="00E35AA7" w:rsidRPr="00D806D9">
        <w:rPr>
          <w:rFonts w:asciiTheme="majorBidi" w:eastAsia="Times New Roman" w:hAnsiTheme="majorBidi" w:cstheme="majorBidi"/>
          <w:sz w:val="24"/>
          <w:szCs w:val="24"/>
          <w:lang w:val="en-US" w:eastAsia="fr-FR" w:bidi="he-IL"/>
        </w:rPr>
        <w:t>accelerated process</w:t>
      </w:r>
      <w:r w:rsidRPr="00D806D9">
        <w:rPr>
          <w:rFonts w:asciiTheme="majorBidi" w:eastAsia="Times New Roman" w:hAnsiTheme="majorBidi" w:cstheme="majorBidi"/>
          <w:sz w:val="24"/>
          <w:szCs w:val="24"/>
          <w:lang w:val="en-US" w:eastAsia="fr-FR" w:bidi="he-IL"/>
        </w:rPr>
        <w:t>.</w:t>
      </w:r>
    </w:p>
    <w:p w14:paraId="3C9639F5" w14:textId="4D8BD341" w:rsidR="00CC3C8C" w:rsidRPr="00D806D9" w:rsidRDefault="00A95704"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sz w:val="24"/>
          <w:szCs w:val="24"/>
          <w:lang w:val="en-US" w:eastAsia="fr-FR" w:bidi="he-IL"/>
        </w:rPr>
        <w:lastRenderedPageBreak/>
        <w:t xml:space="preserve">In this context, LCH projects are receiving significant public </w:t>
      </w:r>
      <w:r w:rsidR="005E06F5">
        <w:rPr>
          <w:rFonts w:asciiTheme="majorBidi" w:eastAsia="Times New Roman" w:hAnsiTheme="majorBidi" w:cstheme="majorBidi"/>
          <w:sz w:val="24"/>
          <w:szCs w:val="24"/>
          <w:lang w:val="en-US" w:eastAsia="fr-FR" w:bidi="he-IL"/>
        </w:rPr>
        <w:t>funding</w:t>
      </w:r>
      <w:r w:rsidR="003A16D9" w:rsidRPr="00D806D9">
        <w:rPr>
          <w:rFonts w:asciiTheme="majorBidi" w:eastAsia="Times New Roman" w:hAnsiTheme="majorBidi" w:cstheme="majorBidi"/>
          <w:sz w:val="24"/>
          <w:szCs w:val="24"/>
          <w:lang w:val="en-US" w:eastAsia="fr-FR" w:bidi="he-IL"/>
        </w:rPr>
        <w:t xml:space="preserve"> within the EU</w:t>
      </w:r>
      <w:r w:rsidR="005C7BE4" w:rsidRPr="00D806D9">
        <w:rPr>
          <w:rFonts w:asciiTheme="majorBidi" w:eastAsia="Times New Roman" w:hAnsiTheme="majorBidi" w:cstheme="majorBidi"/>
          <w:sz w:val="24"/>
          <w:szCs w:val="24"/>
          <w:lang w:val="en-US" w:eastAsia="fr-FR" w:bidi="he-IL"/>
        </w:rPr>
        <w:t xml:space="preserve"> (e.g.</w:t>
      </w:r>
      <w:r w:rsidR="00A72596" w:rsidRPr="00D806D9">
        <w:rPr>
          <w:rFonts w:asciiTheme="majorBidi" w:eastAsia="Times New Roman" w:hAnsiTheme="majorBidi" w:cstheme="majorBidi"/>
          <w:sz w:val="24"/>
          <w:szCs w:val="24"/>
          <w:lang w:val="en-US" w:eastAsia="fr-FR" w:bidi="he-IL"/>
        </w:rPr>
        <w:t xml:space="preserve"> EC, 2022a</w:t>
      </w:r>
      <w:r w:rsidR="005C7BE4" w:rsidRPr="00D806D9">
        <w:rPr>
          <w:rFonts w:asciiTheme="majorBidi" w:eastAsia="Times New Roman" w:hAnsiTheme="majorBidi" w:cstheme="majorBidi"/>
          <w:sz w:val="24"/>
          <w:szCs w:val="24"/>
          <w:lang w:val="en-US" w:eastAsia="fr-FR" w:bidi="he-IL"/>
        </w:rPr>
        <w:t>)</w:t>
      </w:r>
      <w:r w:rsidR="00667CA2"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 xml:space="preserve"> </w:t>
      </w:r>
      <w:r w:rsidR="00764BE7" w:rsidRPr="00D806D9">
        <w:rPr>
          <w:rFonts w:asciiTheme="majorBidi" w:eastAsia="Times New Roman" w:hAnsiTheme="majorBidi" w:cstheme="majorBidi"/>
          <w:sz w:val="24"/>
          <w:szCs w:val="24"/>
          <w:lang w:val="en-US" w:eastAsia="fr-FR" w:bidi="he-IL"/>
        </w:rPr>
        <w:t>its</w:t>
      </w:r>
      <w:r w:rsidR="003A16D9" w:rsidRPr="00D806D9">
        <w:rPr>
          <w:rFonts w:asciiTheme="majorBidi" w:eastAsia="Times New Roman" w:hAnsiTheme="majorBidi" w:cstheme="majorBidi"/>
          <w:sz w:val="24"/>
          <w:szCs w:val="24"/>
          <w:lang w:val="en-US" w:eastAsia="fr-FR" w:bidi="he-IL"/>
        </w:rPr>
        <w:t xml:space="preserve"> </w:t>
      </w:r>
      <w:r w:rsidR="00520606" w:rsidRPr="00D806D9">
        <w:rPr>
          <w:rFonts w:asciiTheme="majorBidi" w:eastAsia="Times New Roman" w:hAnsiTheme="majorBidi" w:cstheme="majorBidi"/>
          <w:sz w:val="24"/>
          <w:szCs w:val="24"/>
          <w:lang w:val="en-US" w:eastAsia="fr-FR" w:bidi="he-IL"/>
        </w:rPr>
        <w:t>theoretical</w:t>
      </w:r>
      <w:r w:rsidRPr="00D806D9">
        <w:rPr>
          <w:rFonts w:asciiTheme="majorBidi" w:eastAsia="Times New Roman" w:hAnsiTheme="majorBidi" w:cstheme="majorBidi"/>
          <w:sz w:val="24"/>
          <w:szCs w:val="24"/>
          <w:lang w:val="en-US" w:eastAsia="fr-FR" w:bidi="he-IL"/>
        </w:rPr>
        <w:t xml:space="preserve"> transverse nature</w:t>
      </w:r>
      <w:r w:rsidR="003A16D9" w:rsidRPr="00D806D9">
        <w:rPr>
          <w:rFonts w:asciiTheme="majorBidi" w:eastAsia="Times New Roman" w:hAnsiTheme="majorBidi" w:cstheme="majorBidi"/>
          <w:sz w:val="24"/>
          <w:szCs w:val="24"/>
          <w:lang w:val="en-US" w:eastAsia="fr-FR" w:bidi="he-IL"/>
        </w:rPr>
        <w:t xml:space="preserve"> </w:t>
      </w:r>
      <w:r w:rsidR="00667CA2" w:rsidRPr="00D806D9">
        <w:rPr>
          <w:rFonts w:asciiTheme="majorBidi" w:eastAsia="Times New Roman" w:hAnsiTheme="majorBidi" w:cstheme="majorBidi"/>
          <w:sz w:val="24"/>
          <w:szCs w:val="24"/>
          <w:lang w:val="en-US" w:eastAsia="fr-FR" w:bidi="he-IL"/>
        </w:rPr>
        <w:t>making</w:t>
      </w:r>
      <w:r w:rsidRPr="00D806D9">
        <w:rPr>
          <w:rFonts w:asciiTheme="majorBidi" w:eastAsia="Times New Roman" w:hAnsiTheme="majorBidi" w:cstheme="majorBidi"/>
          <w:sz w:val="24"/>
          <w:szCs w:val="24"/>
          <w:lang w:val="en-US" w:eastAsia="fr-FR" w:bidi="he-IL"/>
        </w:rPr>
        <w:t xml:space="preserve"> it an interesting mean </w:t>
      </w:r>
      <w:r w:rsidR="00667CA2" w:rsidRPr="00D806D9">
        <w:rPr>
          <w:rFonts w:asciiTheme="majorBidi" w:eastAsia="Times New Roman" w:hAnsiTheme="majorBidi" w:cstheme="majorBidi"/>
          <w:sz w:val="24"/>
          <w:szCs w:val="24"/>
          <w:lang w:val="en-US" w:eastAsia="fr-FR" w:bidi="he-IL"/>
        </w:rPr>
        <w:t>to</w:t>
      </w:r>
      <w:r w:rsidRPr="00D806D9">
        <w:rPr>
          <w:rFonts w:asciiTheme="majorBidi" w:eastAsia="Times New Roman" w:hAnsiTheme="majorBidi" w:cstheme="majorBidi"/>
          <w:sz w:val="24"/>
          <w:szCs w:val="24"/>
          <w:lang w:val="en-US" w:eastAsia="fr-FR" w:bidi="he-IL"/>
        </w:rPr>
        <w:t xml:space="preserve"> decarboniz</w:t>
      </w:r>
      <w:r w:rsidR="00667CA2" w:rsidRPr="00D806D9">
        <w:rPr>
          <w:rFonts w:asciiTheme="majorBidi" w:eastAsia="Times New Roman" w:hAnsiTheme="majorBidi" w:cstheme="majorBidi"/>
          <w:sz w:val="24"/>
          <w:szCs w:val="24"/>
          <w:lang w:val="en-US" w:eastAsia="fr-FR" w:bidi="he-IL"/>
        </w:rPr>
        <w:t>e</w:t>
      </w:r>
      <w:r w:rsidRPr="00D806D9">
        <w:rPr>
          <w:rFonts w:asciiTheme="majorBidi" w:eastAsia="Times New Roman" w:hAnsiTheme="majorBidi" w:cstheme="majorBidi"/>
          <w:sz w:val="24"/>
          <w:szCs w:val="24"/>
          <w:lang w:val="en-US" w:eastAsia="fr-FR" w:bidi="he-IL"/>
        </w:rPr>
        <w:t xml:space="preserve"> certain activities. Such innovations were supposed to be enabled by the EU</w:t>
      </w:r>
      <w:r w:rsidR="009F76AB"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ETS</w:t>
      </w:r>
      <w:r w:rsidR="00520606" w:rsidRPr="00D806D9">
        <w:rPr>
          <w:rFonts w:asciiTheme="majorBidi" w:eastAsia="Times New Roman" w:hAnsiTheme="majorBidi" w:cstheme="majorBidi"/>
          <w:sz w:val="24"/>
          <w:szCs w:val="24"/>
          <w:lang w:val="en-US" w:eastAsia="fr-FR" w:bidi="he-IL"/>
        </w:rPr>
        <w:t xml:space="preserve"> </w:t>
      </w:r>
      <w:r w:rsidR="009C721B">
        <w:rPr>
          <w:rFonts w:asciiTheme="majorBidi" w:eastAsia="Times New Roman" w:hAnsiTheme="majorBidi" w:cstheme="majorBidi"/>
          <w:sz w:val="24"/>
          <w:szCs w:val="24"/>
          <w:lang w:val="en-US" w:eastAsia="fr-FR" w:bidi="he-IL"/>
        </w:rPr>
        <w:t>that</w:t>
      </w:r>
      <w:r w:rsidR="00667CA2"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 xml:space="preserve">did not </w:t>
      </w:r>
      <w:r w:rsidR="00C37CF2" w:rsidRPr="00D806D9">
        <w:rPr>
          <w:rFonts w:asciiTheme="majorBidi" w:eastAsia="Times New Roman" w:hAnsiTheme="majorBidi" w:cstheme="majorBidi"/>
          <w:sz w:val="24"/>
          <w:szCs w:val="24"/>
          <w:lang w:val="en-US" w:eastAsia="fr-FR" w:bidi="he-IL"/>
        </w:rPr>
        <w:t>produce</w:t>
      </w:r>
      <w:r w:rsidRPr="00D806D9">
        <w:rPr>
          <w:rFonts w:asciiTheme="majorBidi" w:eastAsia="Times New Roman" w:hAnsiTheme="majorBidi" w:cstheme="majorBidi"/>
          <w:sz w:val="24"/>
          <w:szCs w:val="24"/>
          <w:lang w:val="en-US" w:eastAsia="fr-FR" w:bidi="he-IL"/>
        </w:rPr>
        <w:t xml:space="preserve"> the dynamic effects</w:t>
      </w:r>
      <w:r w:rsidR="00520606" w:rsidRPr="00D806D9">
        <w:rPr>
          <w:rFonts w:asciiTheme="majorBidi" w:eastAsia="Times New Roman" w:hAnsiTheme="majorBidi" w:cstheme="majorBidi"/>
          <w:sz w:val="24"/>
          <w:szCs w:val="24"/>
          <w:lang w:val="en-US" w:eastAsia="fr-FR" w:bidi="he-IL"/>
        </w:rPr>
        <w:t xml:space="preserve"> expected </w:t>
      </w:r>
      <w:r w:rsidR="00667CA2" w:rsidRPr="00D806D9">
        <w:rPr>
          <w:rFonts w:asciiTheme="majorBidi" w:eastAsia="Times New Roman" w:hAnsiTheme="majorBidi" w:cstheme="majorBidi"/>
          <w:sz w:val="24"/>
          <w:szCs w:val="24"/>
          <w:lang w:val="en-US" w:eastAsia="fr-FR" w:bidi="he-IL"/>
        </w:rPr>
        <w:t>so far</w:t>
      </w:r>
      <w:r w:rsidRPr="00D806D9">
        <w:rPr>
          <w:rFonts w:asciiTheme="majorBidi" w:eastAsia="Times New Roman" w:hAnsiTheme="majorBidi" w:cstheme="majorBidi"/>
          <w:sz w:val="24"/>
          <w:szCs w:val="24"/>
          <w:lang w:val="en-US" w:eastAsia="fr-FR" w:bidi="he-IL"/>
        </w:rPr>
        <w:t>.</w:t>
      </w:r>
      <w:r w:rsidR="002306F0" w:rsidRPr="00D806D9">
        <w:rPr>
          <w:rFonts w:asciiTheme="majorBidi" w:eastAsia="Times New Roman" w:hAnsiTheme="majorBidi" w:cstheme="majorBidi"/>
          <w:sz w:val="24"/>
          <w:szCs w:val="24"/>
          <w:lang w:val="en-US" w:eastAsia="fr-FR" w:bidi="he-IL"/>
        </w:rPr>
        <w:t xml:space="preserve"> </w:t>
      </w:r>
      <w:r w:rsidR="00E221C3" w:rsidRPr="00D806D9">
        <w:rPr>
          <w:rFonts w:asciiTheme="majorBidi" w:eastAsia="Times New Roman" w:hAnsiTheme="majorBidi" w:cstheme="majorBidi"/>
          <w:sz w:val="24"/>
          <w:szCs w:val="24"/>
          <w:lang w:val="en-US" w:eastAsia="fr-FR" w:bidi="he-IL"/>
        </w:rPr>
        <w:t>Further, militarized after the beginning of t</w:t>
      </w:r>
      <w:r w:rsidR="002306F0" w:rsidRPr="00D806D9">
        <w:rPr>
          <w:rFonts w:asciiTheme="majorBidi" w:eastAsia="Times New Roman" w:hAnsiTheme="majorBidi" w:cstheme="majorBidi"/>
          <w:sz w:val="24"/>
          <w:szCs w:val="24"/>
          <w:lang w:val="en-US" w:eastAsia="fr-FR" w:bidi="he-IL"/>
        </w:rPr>
        <w:t>h</w:t>
      </w:r>
      <w:r w:rsidR="006837F1" w:rsidRPr="00D806D9">
        <w:rPr>
          <w:rFonts w:asciiTheme="majorBidi" w:eastAsia="Times New Roman" w:hAnsiTheme="majorBidi" w:cstheme="majorBidi"/>
          <w:sz w:val="24"/>
          <w:szCs w:val="24"/>
          <w:lang w:val="en-US" w:eastAsia="fr-FR" w:bidi="he-IL"/>
        </w:rPr>
        <w:t>e Ukraine war</w:t>
      </w:r>
      <w:r w:rsidR="00E221C3" w:rsidRPr="00D806D9">
        <w:rPr>
          <w:rFonts w:asciiTheme="majorBidi" w:eastAsia="Times New Roman" w:hAnsiTheme="majorBidi" w:cstheme="majorBidi"/>
          <w:sz w:val="24"/>
          <w:szCs w:val="24"/>
          <w:lang w:val="en-US" w:eastAsia="fr-FR" w:bidi="he-IL"/>
        </w:rPr>
        <w:t>,</w:t>
      </w:r>
      <w:r w:rsidR="006837F1" w:rsidRPr="00D806D9">
        <w:rPr>
          <w:rFonts w:asciiTheme="majorBidi" w:eastAsia="Times New Roman" w:hAnsiTheme="majorBidi" w:cstheme="majorBidi"/>
          <w:sz w:val="24"/>
          <w:szCs w:val="24"/>
          <w:lang w:val="en-US" w:eastAsia="fr-FR" w:bidi="he-IL"/>
        </w:rPr>
        <w:t xml:space="preserve"> </w:t>
      </w:r>
      <w:r w:rsidR="00E221C3" w:rsidRPr="00D806D9">
        <w:rPr>
          <w:rFonts w:asciiTheme="majorBidi" w:eastAsia="Times New Roman" w:hAnsiTheme="majorBidi" w:cstheme="majorBidi"/>
          <w:sz w:val="24"/>
          <w:szCs w:val="24"/>
          <w:lang w:val="en-US" w:eastAsia="fr-FR" w:bidi="he-IL"/>
        </w:rPr>
        <w:t xml:space="preserve">the </w:t>
      </w:r>
      <w:r w:rsidR="006837F1" w:rsidRPr="00D806D9">
        <w:rPr>
          <w:rFonts w:asciiTheme="majorBidi" w:eastAsia="Times New Roman" w:hAnsiTheme="majorBidi" w:cstheme="majorBidi"/>
          <w:sz w:val="24"/>
          <w:szCs w:val="24"/>
          <w:lang w:val="en-US" w:eastAsia="fr-FR" w:bidi="he-IL"/>
        </w:rPr>
        <w:t>EU</w:t>
      </w:r>
      <w:r w:rsidR="00E221C3" w:rsidRPr="00D806D9">
        <w:rPr>
          <w:rFonts w:asciiTheme="majorBidi" w:eastAsia="Times New Roman" w:hAnsiTheme="majorBidi" w:cstheme="majorBidi"/>
          <w:sz w:val="24"/>
          <w:szCs w:val="24"/>
          <w:lang w:val="en-US" w:eastAsia="fr-FR" w:bidi="he-IL"/>
        </w:rPr>
        <w:t>’s</w:t>
      </w:r>
      <w:r w:rsidR="006837F1" w:rsidRPr="00D806D9">
        <w:rPr>
          <w:rFonts w:asciiTheme="majorBidi" w:eastAsia="Times New Roman" w:hAnsiTheme="majorBidi" w:cstheme="majorBidi"/>
          <w:sz w:val="24"/>
          <w:szCs w:val="24"/>
          <w:lang w:val="en-US" w:eastAsia="fr-FR" w:bidi="he-IL"/>
        </w:rPr>
        <w:t xml:space="preserve"> massive </w:t>
      </w:r>
      <w:r w:rsidR="00E221C3" w:rsidRPr="00D806D9">
        <w:rPr>
          <w:rFonts w:asciiTheme="majorBidi" w:eastAsia="Times New Roman" w:hAnsiTheme="majorBidi" w:cstheme="majorBidi"/>
          <w:sz w:val="24"/>
          <w:szCs w:val="24"/>
          <w:lang w:val="en-US" w:eastAsia="fr-FR" w:bidi="he-IL"/>
        </w:rPr>
        <w:t xml:space="preserve">energy </w:t>
      </w:r>
      <w:r w:rsidR="006837F1" w:rsidRPr="00D806D9">
        <w:rPr>
          <w:rFonts w:asciiTheme="majorBidi" w:eastAsia="Times New Roman" w:hAnsiTheme="majorBidi" w:cstheme="majorBidi"/>
          <w:sz w:val="24"/>
          <w:szCs w:val="24"/>
          <w:lang w:val="en-US" w:eastAsia="fr-FR" w:bidi="he-IL"/>
        </w:rPr>
        <w:t xml:space="preserve">dependency on Russia </w:t>
      </w:r>
      <w:r w:rsidR="00E221C3" w:rsidRPr="00D806D9">
        <w:rPr>
          <w:rFonts w:asciiTheme="majorBidi" w:eastAsia="Times New Roman" w:hAnsiTheme="majorBidi" w:cstheme="majorBidi"/>
          <w:sz w:val="24"/>
          <w:szCs w:val="24"/>
          <w:lang w:val="en-US" w:eastAsia="fr-FR" w:bidi="he-IL"/>
        </w:rPr>
        <w:t xml:space="preserve">forced </w:t>
      </w:r>
      <w:r w:rsidRPr="00D806D9">
        <w:rPr>
          <w:rFonts w:asciiTheme="majorBidi" w:eastAsia="Times New Roman" w:hAnsiTheme="majorBidi" w:cstheme="majorBidi"/>
          <w:sz w:val="24"/>
          <w:szCs w:val="24"/>
          <w:lang w:val="en-US" w:eastAsia="fr-FR" w:bidi="he-IL"/>
        </w:rPr>
        <w:t xml:space="preserve">the EC </w:t>
      </w:r>
      <w:r w:rsidR="00E221C3" w:rsidRPr="00D806D9">
        <w:rPr>
          <w:rFonts w:asciiTheme="majorBidi" w:eastAsia="Times New Roman" w:hAnsiTheme="majorBidi" w:cstheme="majorBidi"/>
          <w:sz w:val="24"/>
          <w:szCs w:val="24"/>
          <w:lang w:val="en-US" w:eastAsia="fr-FR" w:bidi="he-IL"/>
        </w:rPr>
        <w:t xml:space="preserve">to </w:t>
      </w:r>
      <w:r w:rsidR="005903DA" w:rsidRPr="00D806D9">
        <w:rPr>
          <w:rFonts w:asciiTheme="majorBidi" w:eastAsia="Times New Roman" w:hAnsiTheme="majorBidi" w:cstheme="majorBidi"/>
          <w:sz w:val="24"/>
          <w:szCs w:val="24"/>
          <w:lang w:val="en-US" w:eastAsia="fr-FR" w:bidi="he-IL"/>
        </w:rPr>
        <w:t>react</w:t>
      </w:r>
      <w:r w:rsidR="00E221C3" w:rsidRPr="00D806D9">
        <w:rPr>
          <w:rFonts w:asciiTheme="majorBidi" w:eastAsia="Times New Roman" w:hAnsiTheme="majorBidi" w:cstheme="majorBidi"/>
          <w:sz w:val="24"/>
          <w:szCs w:val="24"/>
          <w:lang w:val="en-US" w:eastAsia="fr-FR" w:bidi="he-IL"/>
        </w:rPr>
        <w:t>. A</w:t>
      </w:r>
      <w:r w:rsidRPr="00D806D9">
        <w:rPr>
          <w:rFonts w:asciiTheme="majorBidi" w:eastAsia="Times New Roman" w:hAnsiTheme="majorBidi" w:cstheme="majorBidi"/>
          <w:sz w:val="24"/>
          <w:szCs w:val="24"/>
          <w:lang w:val="en-US" w:eastAsia="fr-FR" w:bidi="he-IL"/>
        </w:rPr>
        <w:t>nnounced in May 2022</w:t>
      </w:r>
      <w:r w:rsidR="00E221C3" w:rsidRPr="00D806D9">
        <w:rPr>
          <w:rFonts w:asciiTheme="majorBidi" w:eastAsia="Times New Roman" w:hAnsiTheme="majorBidi" w:cstheme="majorBidi"/>
          <w:sz w:val="24"/>
          <w:szCs w:val="24"/>
          <w:lang w:val="en-US" w:eastAsia="fr-FR" w:bidi="he-IL"/>
        </w:rPr>
        <w:t>, its</w:t>
      </w:r>
      <w:r w:rsidRPr="00D806D9">
        <w:rPr>
          <w:rFonts w:asciiTheme="majorBidi" w:eastAsia="Times New Roman" w:hAnsiTheme="majorBidi" w:cstheme="majorBidi"/>
          <w:sz w:val="24"/>
          <w:szCs w:val="24"/>
          <w:lang w:val="en-US" w:eastAsia="fr-FR" w:bidi="he-IL"/>
        </w:rPr>
        <w:t xml:space="preserve"> RePowerEU </w:t>
      </w:r>
      <w:r w:rsidR="006837F1" w:rsidRPr="00D806D9">
        <w:rPr>
          <w:rFonts w:asciiTheme="majorBidi" w:eastAsia="Times New Roman" w:hAnsiTheme="majorBidi" w:cstheme="majorBidi"/>
          <w:sz w:val="24"/>
          <w:szCs w:val="24"/>
          <w:lang w:val="en-US" w:eastAsia="fr-FR" w:bidi="he-IL"/>
        </w:rPr>
        <w:t>plan</w:t>
      </w:r>
      <w:r w:rsidR="002306F0" w:rsidRPr="00D806D9">
        <w:rPr>
          <w:rFonts w:asciiTheme="majorBidi" w:eastAsia="Times New Roman" w:hAnsiTheme="majorBidi" w:cstheme="majorBidi"/>
          <w:sz w:val="24"/>
          <w:szCs w:val="24"/>
          <w:lang w:val="en-US" w:eastAsia="fr-FR" w:bidi="he-IL"/>
        </w:rPr>
        <w:t xml:space="preserve"> </w:t>
      </w:r>
      <w:r w:rsidR="00473430" w:rsidRPr="00D806D9">
        <w:rPr>
          <w:rFonts w:asciiTheme="majorBidi" w:eastAsia="Times New Roman" w:hAnsiTheme="majorBidi" w:cstheme="majorBidi"/>
          <w:sz w:val="24"/>
          <w:szCs w:val="24"/>
          <w:lang w:val="en-US" w:eastAsia="fr-FR" w:bidi="he-IL"/>
        </w:rPr>
        <w:t>propose</w:t>
      </w:r>
      <w:r w:rsidR="00A11B64" w:rsidRPr="00D806D9">
        <w:rPr>
          <w:rFonts w:asciiTheme="majorBidi" w:eastAsia="Times New Roman" w:hAnsiTheme="majorBidi" w:cstheme="majorBidi"/>
          <w:sz w:val="24"/>
          <w:szCs w:val="24"/>
          <w:lang w:val="en-US" w:eastAsia="fr-FR" w:bidi="he-IL"/>
        </w:rPr>
        <w:t>s</w:t>
      </w:r>
      <w:r w:rsidR="00473430" w:rsidRPr="00D806D9">
        <w:rPr>
          <w:rFonts w:asciiTheme="majorBidi" w:eastAsia="Times New Roman" w:hAnsiTheme="majorBidi" w:cstheme="majorBidi"/>
          <w:sz w:val="24"/>
          <w:szCs w:val="24"/>
          <w:lang w:val="en-US" w:eastAsia="fr-FR" w:bidi="he-IL"/>
        </w:rPr>
        <w:t xml:space="preserve"> to </w:t>
      </w:r>
      <w:r w:rsidR="00694555" w:rsidRPr="00D806D9">
        <w:rPr>
          <w:rFonts w:asciiTheme="majorBidi" w:eastAsia="Times New Roman" w:hAnsiTheme="majorBidi" w:cstheme="majorBidi"/>
          <w:sz w:val="24"/>
          <w:szCs w:val="24"/>
          <w:lang w:val="en-US" w:eastAsia="fr-FR" w:bidi="he-IL"/>
        </w:rPr>
        <w:t>substantially increase European LCH ambitions</w:t>
      </w:r>
      <w:r w:rsidR="00764BE7" w:rsidRPr="00D806D9">
        <w:rPr>
          <w:rFonts w:asciiTheme="majorBidi" w:eastAsia="Times New Roman" w:hAnsiTheme="majorBidi" w:cstheme="majorBidi"/>
          <w:sz w:val="24"/>
          <w:szCs w:val="24"/>
          <w:lang w:val="en-US" w:eastAsia="fr-FR" w:bidi="he-IL"/>
        </w:rPr>
        <w:t>,</w:t>
      </w:r>
      <w:r w:rsidR="00694555" w:rsidRPr="00D806D9">
        <w:rPr>
          <w:rFonts w:asciiTheme="majorBidi" w:eastAsia="Times New Roman" w:hAnsiTheme="majorBidi" w:cstheme="majorBidi"/>
          <w:sz w:val="24"/>
          <w:szCs w:val="24"/>
          <w:lang w:val="en-US" w:eastAsia="fr-FR" w:bidi="he-IL"/>
        </w:rPr>
        <w:t xml:space="preserve"> notably by </w:t>
      </w:r>
      <w:r w:rsidR="00A26CFE" w:rsidRPr="00D806D9">
        <w:rPr>
          <w:rFonts w:asciiTheme="majorBidi" w:eastAsia="Times New Roman" w:hAnsiTheme="majorBidi" w:cstheme="majorBidi"/>
          <w:sz w:val="24"/>
          <w:szCs w:val="24"/>
          <w:lang w:val="en-US" w:eastAsia="fr-FR" w:bidi="he-IL"/>
        </w:rPr>
        <w:t>integrat</w:t>
      </w:r>
      <w:r w:rsidR="00694555" w:rsidRPr="00D806D9">
        <w:rPr>
          <w:rFonts w:asciiTheme="majorBidi" w:eastAsia="Times New Roman" w:hAnsiTheme="majorBidi" w:cstheme="majorBidi"/>
          <w:sz w:val="24"/>
          <w:szCs w:val="24"/>
          <w:lang w:val="en-US" w:eastAsia="fr-FR" w:bidi="he-IL"/>
        </w:rPr>
        <w:t>ing</w:t>
      </w:r>
      <w:r w:rsidR="00A26CFE" w:rsidRPr="00D806D9">
        <w:rPr>
          <w:rFonts w:asciiTheme="majorBidi" w:eastAsia="Times New Roman" w:hAnsiTheme="majorBidi" w:cstheme="majorBidi"/>
          <w:sz w:val="24"/>
          <w:szCs w:val="24"/>
          <w:lang w:val="en-US" w:eastAsia="fr-FR" w:bidi="he-IL"/>
        </w:rPr>
        <w:t xml:space="preserve"> CCfD </w:t>
      </w:r>
      <w:r w:rsidR="00572DBD" w:rsidRPr="00D806D9">
        <w:rPr>
          <w:rFonts w:asciiTheme="majorBidi" w:eastAsia="Times New Roman" w:hAnsiTheme="majorBidi" w:cstheme="majorBidi"/>
          <w:sz w:val="24"/>
          <w:szCs w:val="24"/>
          <w:lang w:val="en-US" w:eastAsia="fr-FR" w:bidi="he-IL"/>
        </w:rPr>
        <w:t xml:space="preserve">as a tool </w:t>
      </w:r>
      <w:r w:rsidRPr="00D806D9">
        <w:rPr>
          <w:rFonts w:asciiTheme="majorBidi" w:eastAsia="Times New Roman" w:hAnsiTheme="majorBidi" w:cstheme="majorBidi"/>
          <w:sz w:val="24"/>
          <w:szCs w:val="24"/>
          <w:lang w:val="en-US" w:eastAsia="fr-FR" w:bidi="he-IL"/>
        </w:rPr>
        <w:t>“to support hydrogen uptake and electrification in industrial sectors” (EC, 2022</w:t>
      </w:r>
      <w:r w:rsidR="00426B8A" w:rsidRPr="00D806D9">
        <w:rPr>
          <w:rFonts w:asciiTheme="majorBidi" w:eastAsia="Times New Roman" w:hAnsiTheme="majorBidi" w:cstheme="majorBidi"/>
          <w:sz w:val="24"/>
          <w:szCs w:val="24"/>
          <w:lang w:val="en-US" w:eastAsia="fr-FR" w:bidi="he-IL"/>
        </w:rPr>
        <w:t>b</w:t>
      </w:r>
      <w:r w:rsidRPr="00D806D9">
        <w:rPr>
          <w:rFonts w:asciiTheme="majorBidi" w:eastAsia="Times New Roman" w:hAnsiTheme="majorBidi" w:cstheme="majorBidi"/>
          <w:sz w:val="24"/>
          <w:szCs w:val="24"/>
          <w:lang w:val="en-US" w:eastAsia="fr-FR" w:bidi="he-IL"/>
        </w:rPr>
        <w:t>).</w:t>
      </w:r>
      <w:r w:rsidR="00473430"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 xml:space="preserve">CCfD </w:t>
      </w:r>
      <w:r w:rsidR="005B7BA3" w:rsidRPr="00D806D9">
        <w:rPr>
          <w:rFonts w:asciiTheme="majorBidi" w:eastAsia="Times New Roman" w:hAnsiTheme="majorBidi" w:cstheme="majorBidi"/>
          <w:sz w:val="24"/>
          <w:szCs w:val="24"/>
          <w:lang w:val="en-US" w:eastAsia="fr-FR" w:bidi="he-IL"/>
        </w:rPr>
        <w:t>aims at creating</w:t>
      </w:r>
      <w:r w:rsidRPr="00D806D9">
        <w:rPr>
          <w:rFonts w:asciiTheme="majorBidi" w:eastAsia="Times New Roman" w:hAnsiTheme="majorBidi" w:cstheme="majorBidi"/>
          <w:sz w:val="24"/>
          <w:szCs w:val="24"/>
          <w:lang w:val="en-US" w:eastAsia="fr-FR" w:bidi="he-IL"/>
        </w:rPr>
        <w:t xml:space="preserve"> an additional incentive for operators to invest in </w:t>
      </w:r>
      <w:r w:rsidR="00473430" w:rsidRPr="00D806D9">
        <w:rPr>
          <w:rFonts w:asciiTheme="majorBidi" w:eastAsia="Times New Roman" w:hAnsiTheme="majorBidi" w:cstheme="majorBidi"/>
          <w:sz w:val="24"/>
          <w:szCs w:val="24"/>
          <w:lang w:val="en-US" w:eastAsia="fr-FR" w:bidi="he-IL"/>
        </w:rPr>
        <w:t>low-carbon</w:t>
      </w:r>
      <w:r w:rsidRPr="00D806D9">
        <w:rPr>
          <w:rFonts w:asciiTheme="majorBidi" w:eastAsia="Times New Roman" w:hAnsiTheme="majorBidi" w:cstheme="majorBidi"/>
          <w:sz w:val="24"/>
          <w:szCs w:val="24"/>
          <w:lang w:val="en-US" w:eastAsia="fr-FR" w:bidi="he-IL"/>
        </w:rPr>
        <w:t xml:space="preserve"> technologies by reducing </w:t>
      </w:r>
      <w:r w:rsidR="00473430" w:rsidRPr="00D806D9">
        <w:rPr>
          <w:rFonts w:asciiTheme="majorBidi" w:eastAsia="Times New Roman" w:hAnsiTheme="majorBidi" w:cstheme="majorBidi"/>
          <w:sz w:val="24"/>
          <w:szCs w:val="24"/>
          <w:lang w:val="en-US" w:eastAsia="fr-FR" w:bidi="he-IL"/>
        </w:rPr>
        <w:t xml:space="preserve">the </w:t>
      </w:r>
      <w:r w:rsidRPr="00D806D9">
        <w:rPr>
          <w:rFonts w:asciiTheme="majorBidi" w:eastAsia="Times New Roman" w:hAnsiTheme="majorBidi" w:cstheme="majorBidi"/>
          <w:sz w:val="24"/>
          <w:szCs w:val="24"/>
          <w:lang w:val="en-US" w:eastAsia="fr-FR" w:bidi="he-IL"/>
        </w:rPr>
        <w:t>risks</w:t>
      </w:r>
      <w:r w:rsidR="00473430" w:rsidRPr="00D806D9">
        <w:rPr>
          <w:rFonts w:asciiTheme="majorBidi" w:eastAsia="Times New Roman" w:hAnsiTheme="majorBidi" w:cstheme="majorBidi"/>
          <w:sz w:val="24"/>
          <w:szCs w:val="24"/>
          <w:lang w:val="en-US" w:eastAsia="fr-FR" w:bidi="he-IL"/>
        </w:rPr>
        <w:t xml:space="preserve"> associated</w:t>
      </w:r>
      <w:r w:rsidR="008F010A" w:rsidRPr="00D806D9">
        <w:rPr>
          <w:rFonts w:asciiTheme="majorBidi" w:eastAsia="Times New Roman" w:hAnsiTheme="majorBidi" w:cstheme="majorBidi"/>
          <w:sz w:val="24"/>
          <w:szCs w:val="24"/>
          <w:lang w:val="en-US" w:eastAsia="fr-FR" w:bidi="he-IL"/>
        </w:rPr>
        <w:t xml:space="preserve"> with the </w:t>
      </w:r>
      <w:r w:rsidR="00C03D87" w:rsidRPr="00D806D9">
        <w:rPr>
          <w:rFonts w:asciiTheme="majorBidi" w:eastAsia="Times New Roman" w:hAnsiTheme="majorBidi" w:cstheme="majorBidi"/>
          <w:sz w:val="24"/>
          <w:szCs w:val="24"/>
          <w:lang w:val="en-US" w:eastAsia="fr-FR" w:bidi="he-IL"/>
        </w:rPr>
        <w:t>EU-ETS</w:t>
      </w:r>
      <w:r w:rsidRPr="00D806D9">
        <w:rPr>
          <w:rFonts w:asciiTheme="majorBidi" w:eastAsia="Times New Roman" w:hAnsiTheme="majorBidi" w:cstheme="majorBidi"/>
          <w:sz w:val="24"/>
          <w:szCs w:val="24"/>
          <w:lang w:val="en-US" w:eastAsia="fr-FR" w:bidi="he-IL"/>
        </w:rPr>
        <w:t>.</w:t>
      </w:r>
      <w:r w:rsidR="00C03D87" w:rsidRPr="00D806D9">
        <w:rPr>
          <w:rFonts w:asciiTheme="majorBidi" w:eastAsia="Times New Roman" w:hAnsiTheme="majorBidi" w:cstheme="majorBidi"/>
          <w:sz w:val="24"/>
          <w:szCs w:val="24"/>
          <w:lang w:val="en-US" w:eastAsia="fr-FR" w:bidi="he-IL"/>
        </w:rPr>
        <w:t xml:space="preserve"> </w:t>
      </w:r>
      <w:r w:rsidR="005B7BA3" w:rsidRPr="00D806D9">
        <w:rPr>
          <w:rFonts w:asciiTheme="majorBidi" w:eastAsia="Times New Roman" w:hAnsiTheme="majorBidi" w:cstheme="majorBidi"/>
          <w:sz w:val="24"/>
          <w:szCs w:val="24"/>
          <w:lang w:val="en-US" w:eastAsia="fr-FR" w:bidi="he-IL"/>
        </w:rPr>
        <w:t xml:space="preserve">As this </w:t>
      </w:r>
      <w:r w:rsidR="00473430" w:rsidRPr="00D806D9">
        <w:rPr>
          <w:rFonts w:asciiTheme="majorBidi" w:eastAsia="Times New Roman" w:hAnsiTheme="majorBidi" w:cstheme="majorBidi"/>
          <w:sz w:val="24"/>
          <w:szCs w:val="24"/>
          <w:lang w:val="en-US" w:eastAsia="fr-FR" w:bidi="he-IL"/>
        </w:rPr>
        <w:t xml:space="preserve">proposal would </w:t>
      </w:r>
      <w:r w:rsidR="005B7BA3" w:rsidRPr="00D806D9">
        <w:rPr>
          <w:rFonts w:asciiTheme="majorBidi" w:eastAsia="Times New Roman" w:hAnsiTheme="majorBidi" w:cstheme="majorBidi"/>
          <w:sz w:val="24"/>
          <w:szCs w:val="24"/>
          <w:lang w:val="en-US" w:eastAsia="fr-FR" w:bidi="he-IL"/>
        </w:rPr>
        <w:t xml:space="preserve">involve public </w:t>
      </w:r>
      <w:r w:rsidR="005E06F5">
        <w:rPr>
          <w:rFonts w:asciiTheme="majorBidi" w:eastAsia="Times New Roman" w:hAnsiTheme="majorBidi" w:cstheme="majorBidi"/>
          <w:sz w:val="24"/>
          <w:szCs w:val="24"/>
          <w:lang w:val="en-US" w:eastAsia="fr-FR" w:bidi="he-IL"/>
        </w:rPr>
        <w:t>funding</w:t>
      </w:r>
      <w:r w:rsidR="00C03D87" w:rsidRPr="00D806D9">
        <w:rPr>
          <w:rFonts w:asciiTheme="majorBidi" w:eastAsia="Times New Roman" w:hAnsiTheme="majorBidi" w:cstheme="majorBidi"/>
          <w:sz w:val="24"/>
          <w:szCs w:val="24"/>
          <w:lang w:val="en-US" w:eastAsia="fr-FR" w:bidi="he-IL"/>
        </w:rPr>
        <w:t xml:space="preserve"> and that this instrument </w:t>
      </w:r>
      <w:r w:rsidR="005E06F5">
        <w:rPr>
          <w:rFonts w:asciiTheme="majorBidi" w:eastAsia="Times New Roman" w:hAnsiTheme="majorBidi" w:cstheme="majorBidi"/>
          <w:sz w:val="24"/>
          <w:szCs w:val="24"/>
          <w:lang w:val="en-US" w:eastAsia="fr-FR" w:bidi="he-IL"/>
        </w:rPr>
        <w:t>has</w:t>
      </w:r>
      <w:r w:rsidR="00C03D87" w:rsidRPr="00D806D9">
        <w:rPr>
          <w:rFonts w:asciiTheme="majorBidi" w:eastAsia="Times New Roman" w:hAnsiTheme="majorBidi" w:cstheme="majorBidi"/>
          <w:sz w:val="24"/>
          <w:szCs w:val="24"/>
          <w:lang w:val="en-US" w:eastAsia="fr-FR" w:bidi="he-IL"/>
        </w:rPr>
        <w:t xml:space="preserve"> never been implemented before</w:t>
      </w:r>
      <w:r w:rsidRPr="00D806D9">
        <w:rPr>
          <w:rFonts w:asciiTheme="majorBidi" w:eastAsia="Times New Roman" w:hAnsiTheme="majorBidi" w:cstheme="majorBidi"/>
          <w:sz w:val="24"/>
          <w:szCs w:val="24"/>
          <w:lang w:val="en-US" w:eastAsia="fr-FR" w:bidi="he-IL"/>
        </w:rPr>
        <w:t xml:space="preserve">, it seems relevant to interrogate </w:t>
      </w:r>
      <w:r w:rsidR="00473430" w:rsidRPr="00D806D9">
        <w:rPr>
          <w:rFonts w:asciiTheme="majorBidi" w:eastAsia="Times New Roman" w:hAnsiTheme="majorBidi" w:cstheme="majorBidi"/>
          <w:sz w:val="24"/>
          <w:szCs w:val="24"/>
          <w:lang w:val="en-US" w:eastAsia="fr-FR" w:bidi="he-IL"/>
        </w:rPr>
        <w:t>the</w:t>
      </w:r>
      <w:r w:rsidR="005B7BA3" w:rsidRPr="00D806D9">
        <w:rPr>
          <w:rFonts w:asciiTheme="majorBidi" w:eastAsia="Times New Roman" w:hAnsiTheme="majorBidi" w:cstheme="majorBidi"/>
          <w:sz w:val="24"/>
          <w:szCs w:val="24"/>
          <w:lang w:val="en-US" w:eastAsia="fr-FR" w:bidi="he-IL"/>
        </w:rPr>
        <w:t xml:space="preserve"> potential implications</w:t>
      </w:r>
      <w:r w:rsidR="00473430" w:rsidRPr="00D806D9">
        <w:rPr>
          <w:rFonts w:asciiTheme="majorBidi" w:eastAsia="Times New Roman" w:hAnsiTheme="majorBidi" w:cstheme="majorBidi"/>
          <w:sz w:val="24"/>
          <w:szCs w:val="24"/>
          <w:lang w:val="en-US" w:eastAsia="fr-FR" w:bidi="he-IL"/>
        </w:rPr>
        <w:t xml:space="preserve"> of this choice</w:t>
      </w:r>
      <w:r w:rsidRPr="00D806D9">
        <w:rPr>
          <w:rFonts w:asciiTheme="majorBidi" w:eastAsia="Times New Roman" w:hAnsiTheme="majorBidi" w:cstheme="majorBidi"/>
          <w:sz w:val="24"/>
          <w:szCs w:val="24"/>
          <w:lang w:val="en-US" w:eastAsia="fr-FR" w:bidi="he-IL"/>
        </w:rPr>
        <w:t xml:space="preserve">. </w:t>
      </w:r>
      <w:r w:rsidR="00D612FB" w:rsidRPr="00D806D9">
        <w:rPr>
          <w:rFonts w:asciiTheme="majorBidi" w:eastAsia="Times New Roman" w:hAnsiTheme="majorBidi" w:cstheme="majorBidi"/>
          <w:sz w:val="24"/>
          <w:szCs w:val="24"/>
          <w:lang w:val="en-US" w:eastAsia="fr-FR" w:bidi="he-IL"/>
        </w:rPr>
        <w:t xml:space="preserve">Can indeed CCfD be an efficient low-carbon hydrogen innovation support instrument to meet </w:t>
      </w:r>
      <w:r w:rsidR="00D06DAB" w:rsidRPr="00D806D9">
        <w:rPr>
          <w:rFonts w:asciiTheme="majorBidi" w:eastAsia="Times New Roman" w:hAnsiTheme="majorBidi" w:cstheme="majorBidi"/>
          <w:sz w:val="24"/>
          <w:szCs w:val="24"/>
          <w:lang w:val="en-US" w:eastAsia="fr-FR" w:bidi="he-IL"/>
        </w:rPr>
        <w:t>the</w:t>
      </w:r>
      <w:r w:rsidR="00D612FB" w:rsidRPr="00D806D9">
        <w:rPr>
          <w:rFonts w:asciiTheme="majorBidi" w:eastAsia="Times New Roman" w:hAnsiTheme="majorBidi" w:cstheme="majorBidi"/>
          <w:sz w:val="24"/>
          <w:szCs w:val="24"/>
          <w:lang w:val="en-US" w:eastAsia="fr-FR" w:bidi="he-IL"/>
        </w:rPr>
        <w:t xml:space="preserve"> Paris Agreement</w:t>
      </w:r>
      <w:r w:rsidR="00D06DAB" w:rsidRPr="00D806D9">
        <w:rPr>
          <w:rFonts w:asciiTheme="majorBidi" w:eastAsia="Times New Roman" w:hAnsiTheme="majorBidi" w:cstheme="majorBidi"/>
          <w:sz w:val="24"/>
          <w:szCs w:val="24"/>
          <w:lang w:val="en-US" w:eastAsia="fr-FR" w:bidi="he-IL"/>
        </w:rPr>
        <w:t xml:space="preserve"> </w:t>
      </w:r>
      <w:r w:rsidR="001D7188" w:rsidRPr="00D806D9">
        <w:rPr>
          <w:rFonts w:asciiTheme="majorBidi" w:eastAsia="Times New Roman" w:hAnsiTheme="majorBidi" w:cstheme="majorBidi"/>
          <w:sz w:val="24"/>
          <w:szCs w:val="24"/>
          <w:lang w:val="en-US" w:eastAsia="fr-FR" w:bidi="he-IL"/>
        </w:rPr>
        <w:t>commitments?</w:t>
      </w:r>
      <w:r w:rsidRPr="00D806D9">
        <w:rPr>
          <w:rFonts w:asciiTheme="majorBidi" w:eastAsia="Times New Roman" w:hAnsiTheme="majorBidi" w:cstheme="majorBidi"/>
          <w:color w:val="000000"/>
          <w:sz w:val="24"/>
          <w:szCs w:val="24"/>
          <w:lang w:val="en-US" w:eastAsia="fr-FR" w:bidi="he-IL"/>
        </w:rPr>
        <w:t xml:space="preserve"> </w:t>
      </w:r>
      <w:r w:rsidR="00C03D87" w:rsidRPr="00D806D9">
        <w:rPr>
          <w:rFonts w:asciiTheme="majorBidi" w:eastAsia="Times New Roman" w:hAnsiTheme="majorBidi" w:cstheme="majorBidi"/>
          <w:color w:val="000000"/>
          <w:sz w:val="24"/>
          <w:szCs w:val="24"/>
          <w:lang w:val="en-US" w:eastAsia="fr-FR" w:bidi="he-IL"/>
        </w:rPr>
        <w:t>This question entails different conceptions of efficiency: the traditional economic ones (allocative, productive</w:t>
      </w:r>
      <w:r w:rsidR="005E06F5">
        <w:rPr>
          <w:rFonts w:asciiTheme="majorBidi" w:eastAsia="Times New Roman" w:hAnsiTheme="majorBidi" w:cstheme="majorBidi"/>
          <w:color w:val="000000"/>
          <w:sz w:val="24"/>
          <w:szCs w:val="24"/>
          <w:lang w:val="en-US" w:eastAsia="fr-FR" w:bidi="he-IL"/>
        </w:rPr>
        <w:t>,</w:t>
      </w:r>
      <w:r w:rsidR="00C03D87" w:rsidRPr="00D806D9">
        <w:rPr>
          <w:rFonts w:asciiTheme="majorBidi" w:eastAsia="Times New Roman" w:hAnsiTheme="majorBidi" w:cstheme="majorBidi"/>
          <w:color w:val="000000"/>
          <w:sz w:val="24"/>
          <w:szCs w:val="24"/>
          <w:lang w:val="en-US" w:eastAsia="fr-FR" w:bidi="he-IL"/>
        </w:rPr>
        <w:t xml:space="preserve"> and distributive) on one part, and the environmental one on the other part. </w:t>
      </w:r>
    </w:p>
    <w:p w14:paraId="744BFCCC" w14:textId="4EB64E6D" w:rsidR="00CC3C8C" w:rsidRPr="00D806D9" w:rsidRDefault="002274F5"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T</w:t>
      </w:r>
      <w:r w:rsidR="00077EF4" w:rsidRPr="00D806D9">
        <w:rPr>
          <w:rFonts w:asciiTheme="majorBidi" w:eastAsia="Times New Roman" w:hAnsiTheme="majorBidi" w:cstheme="majorBidi"/>
          <w:sz w:val="24"/>
          <w:szCs w:val="24"/>
          <w:lang w:val="en-US" w:eastAsia="fr-FR" w:bidi="he-IL"/>
        </w:rPr>
        <w:t xml:space="preserve">his work aims </w:t>
      </w:r>
      <w:r w:rsidR="009C721B">
        <w:rPr>
          <w:rFonts w:asciiTheme="majorBidi" w:eastAsia="Times New Roman" w:hAnsiTheme="majorBidi" w:cstheme="majorBidi"/>
          <w:sz w:val="24"/>
          <w:szCs w:val="24"/>
          <w:lang w:val="en-US" w:eastAsia="fr-FR" w:bidi="he-IL"/>
        </w:rPr>
        <w:t>to evaluate</w:t>
      </w:r>
      <w:r w:rsidR="00077EF4" w:rsidRPr="00D806D9">
        <w:rPr>
          <w:rFonts w:asciiTheme="majorBidi" w:eastAsia="Times New Roman" w:hAnsiTheme="majorBidi" w:cstheme="majorBidi"/>
          <w:sz w:val="24"/>
          <w:szCs w:val="24"/>
          <w:lang w:val="en-US" w:eastAsia="fr-FR" w:bidi="he-IL"/>
        </w:rPr>
        <w:t xml:space="preserve"> CCfD</w:t>
      </w:r>
      <w:r w:rsidR="00CC6AF1"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functioning</w:t>
      </w:r>
      <w:r w:rsidR="00077EF4" w:rsidRPr="00D806D9">
        <w:rPr>
          <w:rFonts w:asciiTheme="majorBidi" w:eastAsia="Times New Roman" w:hAnsiTheme="majorBidi" w:cstheme="majorBidi"/>
          <w:sz w:val="24"/>
          <w:szCs w:val="24"/>
          <w:lang w:val="en-US" w:eastAsia="fr-FR" w:bidi="he-IL"/>
        </w:rPr>
        <w:t xml:space="preserve"> </w:t>
      </w:r>
      <w:r w:rsidR="00FB05EF" w:rsidRPr="00D806D9">
        <w:rPr>
          <w:rFonts w:asciiTheme="majorBidi" w:eastAsia="Times New Roman" w:hAnsiTheme="majorBidi" w:cstheme="majorBidi"/>
          <w:sz w:val="24"/>
          <w:szCs w:val="24"/>
          <w:lang w:val="en-US" w:eastAsia="fr-FR" w:bidi="he-IL"/>
        </w:rPr>
        <w:t xml:space="preserve">and potential effects </w:t>
      </w:r>
      <w:r w:rsidR="00C262C2" w:rsidRPr="00D806D9">
        <w:rPr>
          <w:rFonts w:asciiTheme="majorBidi" w:eastAsia="Times New Roman" w:hAnsiTheme="majorBidi" w:cstheme="majorBidi"/>
          <w:sz w:val="24"/>
          <w:szCs w:val="24"/>
          <w:lang w:val="en-US" w:eastAsia="fr-FR" w:bidi="he-IL"/>
        </w:rPr>
        <w:t xml:space="preserve">within the </w:t>
      </w:r>
      <w:r w:rsidR="00077EF4" w:rsidRPr="00D806D9">
        <w:rPr>
          <w:rFonts w:asciiTheme="majorBidi" w:eastAsia="Times New Roman" w:hAnsiTheme="majorBidi" w:cstheme="majorBidi"/>
          <w:sz w:val="24"/>
          <w:szCs w:val="24"/>
          <w:lang w:val="en-US" w:eastAsia="fr-FR" w:bidi="he-IL"/>
        </w:rPr>
        <w:t>EU</w:t>
      </w:r>
      <w:r w:rsidRPr="00D806D9">
        <w:rPr>
          <w:rFonts w:asciiTheme="majorBidi" w:eastAsia="Times New Roman" w:hAnsiTheme="majorBidi" w:cstheme="majorBidi"/>
          <w:sz w:val="24"/>
          <w:szCs w:val="24"/>
          <w:lang w:val="en-US" w:eastAsia="fr-FR" w:bidi="he-IL"/>
        </w:rPr>
        <w:t>-</w:t>
      </w:r>
      <w:r w:rsidR="00077EF4" w:rsidRPr="00D806D9">
        <w:rPr>
          <w:rFonts w:asciiTheme="majorBidi" w:eastAsia="Times New Roman" w:hAnsiTheme="majorBidi" w:cstheme="majorBidi"/>
          <w:sz w:val="24"/>
          <w:szCs w:val="24"/>
          <w:lang w:val="en-US" w:eastAsia="fr-FR" w:bidi="he-IL"/>
        </w:rPr>
        <w:t xml:space="preserve">ETS </w:t>
      </w:r>
      <w:r w:rsidRPr="00D806D9">
        <w:rPr>
          <w:rFonts w:asciiTheme="majorBidi" w:eastAsia="Times New Roman" w:hAnsiTheme="majorBidi" w:cstheme="majorBidi"/>
          <w:sz w:val="24"/>
          <w:szCs w:val="24"/>
          <w:lang w:val="en-US" w:eastAsia="fr-FR" w:bidi="he-IL"/>
        </w:rPr>
        <w:t xml:space="preserve">regulatory </w:t>
      </w:r>
      <w:r w:rsidR="00C262C2" w:rsidRPr="00D806D9">
        <w:rPr>
          <w:rFonts w:asciiTheme="majorBidi" w:eastAsia="Times New Roman" w:hAnsiTheme="majorBidi" w:cstheme="majorBidi"/>
          <w:sz w:val="24"/>
          <w:szCs w:val="24"/>
          <w:lang w:val="en-US" w:eastAsia="fr-FR" w:bidi="he-IL"/>
        </w:rPr>
        <w:t>framework and how their interrelations could affect the former</w:t>
      </w:r>
      <w:r w:rsidR="001F4499" w:rsidRPr="00D806D9">
        <w:rPr>
          <w:rFonts w:asciiTheme="majorBidi" w:eastAsia="Times New Roman" w:hAnsiTheme="majorBidi" w:cstheme="majorBidi"/>
          <w:sz w:val="24"/>
          <w:szCs w:val="24"/>
          <w:lang w:val="en-US" w:eastAsia="fr-FR" w:bidi="he-IL"/>
        </w:rPr>
        <w:t>, notably through carbon pricing and the IF institutional</w:t>
      </w:r>
      <w:r w:rsidR="00FB05EF" w:rsidRPr="00D806D9">
        <w:rPr>
          <w:rFonts w:asciiTheme="majorBidi" w:eastAsia="Times New Roman" w:hAnsiTheme="majorBidi" w:cstheme="majorBidi"/>
          <w:sz w:val="24"/>
          <w:szCs w:val="24"/>
          <w:lang w:val="en-US" w:eastAsia="fr-FR" w:bidi="he-IL"/>
        </w:rPr>
        <w:t xml:space="preserve"> setting</w:t>
      </w:r>
      <w:r w:rsidR="00C262C2" w:rsidRPr="00D806D9">
        <w:rPr>
          <w:rFonts w:asciiTheme="majorBidi" w:eastAsia="Times New Roman" w:hAnsiTheme="majorBidi" w:cstheme="majorBidi"/>
          <w:sz w:val="24"/>
          <w:szCs w:val="24"/>
          <w:lang w:val="en-US" w:eastAsia="fr-FR" w:bidi="he-IL"/>
        </w:rPr>
        <w:t xml:space="preserve">. </w:t>
      </w:r>
      <w:r w:rsidR="00675146" w:rsidRPr="00D806D9">
        <w:rPr>
          <w:rFonts w:asciiTheme="majorBidi" w:eastAsia="Times New Roman" w:hAnsiTheme="majorBidi" w:cstheme="majorBidi"/>
          <w:sz w:val="24"/>
          <w:szCs w:val="24"/>
          <w:lang w:val="en-US" w:eastAsia="fr-FR" w:bidi="he-IL"/>
        </w:rPr>
        <w:t xml:space="preserve">For this, microeconomics and </w:t>
      </w:r>
      <w:r w:rsidR="00C4138F" w:rsidRPr="00D806D9">
        <w:rPr>
          <w:rFonts w:asciiTheme="majorBidi" w:eastAsia="Times New Roman" w:hAnsiTheme="majorBidi" w:cstheme="majorBidi"/>
          <w:sz w:val="24"/>
          <w:szCs w:val="24"/>
          <w:lang w:val="en-US" w:eastAsia="fr-FR" w:bidi="he-IL"/>
        </w:rPr>
        <w:t>the</w:t>
      </w:r>
      <w:r w:rsidR="00675146" w:rsidRPr="00D806D9">
        <w:rPr>
          <w:rFonts w:asciiTheme="majorBidi" w:eastAsia="Times New Roman" w:hAnsiTheme="majorBidi" w:cstheme="majorBidi"/>
          <w:sz w:val="24"/>
          <w:szCs w:val="24"/>
          <w:lang w:val="en-US" w:eastAsia="fr-FR" w:bidi="he-IL"/>
        </w:rPr>
        <w:t xml:space="preserve"> private interest theory of regulation will be used as </w:t>
      </w:r>
      <w:r w:rsidR="005E06F5">
        <w:rPr>
          <w:rFonts w:asciiTheme="majorBidi" w:eastAsia="Times New Roman" w:hAnsiTheme="majorBidi" w:cstheme="majorBidi"/>
          <w:sz w:val="24"/>
          <w:szCs w:val="24"/>
          <w:lang w:val="en-US" w:eastAsia="fr-FR" w:bidi="he-IL"/>
        </w:rPr>
        <w:t xml:space="preserve">the </w:t>
      </w:r>
      <w:r w:rsidR="00675146" w:rsidRPr="00D806D9">
        <w:rPr>
          <w:rFonts w:asciiTheme="majorBidi" w:eastAsia="Times New Roman" w:hAnsiTheme="majorBidi" w:cstheme="majorBidi"/>
          <w:sz w:val="24"/>
          <w:szCs w:val="24"/>
          <w:lang w:val="en-US" w:eastAsia="fr-FR" w:bidi="he-IL"/>
        </w:rPr>
        <w:t>main theoretical frameworks</w:t>
      </w:r>
      <w:r w:rsidR="00C4138F" w:rsidRPr="00D806D9">
        <w:rPr>
          <w:rFonts w:asciiTheme="majorBidi" w:eastAsia="Times New Roman" w:hAnsiTheme="majorBidi" w:cstheme="majorBidi"/>
          <w:sz w:val="24"/>
          <w:szCs w:val="24"/>
          <w:lang w:val="en-US" w:eastAsia="fr-FR" w:bidi="he-IL"/>
        </w:rPr>
        <w:t xml:space="preserve">. </w:t>
      </w:r>
      <w:r w:rsidR="0062004E" w:rsidRPr="00D806D9">
        <w:rPr>
          <w:rFonts w:asciiTheme="majorBidi" w:eastAsia="Times New Roman" w:hAnsiTheme="majorBidi" w:cstheme="majorBidi"/>
          <w:sz w:val="24"/>
          <w:szCs w:val="24"/>
          <w:lang w:val="en-US" w:eastAsia="fr-FR" w:bidi="he-IL"/>
        </w:rPr>
        <w:t>T</w:t>
      </w:r>
      <w:r w:rsidR="00C262C2" w:rsidRPr="00D806D9">
        <w:rPr>
          <w:rFonts w:asciiTheme="majorBidi" w:eastAsia="Times New Roman" w:hAnsiTheme="majorBidi" w:cstheme="majorBidi"/>
          <w:sz w:val="24"/>
          <w:szCs w:val="24"/>
          <w:lang w:val="en-US" w:eastAsia="fr-FR" w:bidi="he-IL"/>
        </w:rPr>
        <w:t xml:space="preserve">he EC’s goal </w:t>
      </w:r>
      <w:r w:rsidR="005E06F5">
        <w:rPr>
          <w:rFonts w:asciiTheme="majorBidi" w:eastAsia="Times New Roman" w:hAnsiTheme="majorBidi" w:cstheme="majorBidi"/>
          <w:sz w:val="24"/>
          <w:szCs w:val="24"/>
          <w:lang w:val="en-US" w:eastAsia="fr-FR" w:bidi="he-IL"/>
        </w:rPr>
        <w:t>is</w:t>
      </w:r>
      <w:r w:rsidR="00C262C2" w:rsidRPr="00D806D9">
        <w:rPr>
          <w:rFonts w:asciiTheme="majorBidi" w:eastAsia="Times New Roman" w:hAnsiTheme="majorBidi" w:cstheme="majorBidi"/>
          <w:sz w:val="24"/>
          <w:szCs w:val="24"/>
          <w:lang w:val="en-US" w:eastAsia="fr-FR" w:bidi="he-IL"/>
        </w:rPr>
        <w:t xml:space="preserve"> technological</w:t>
      </w:r>
      <w:r w:rsidR="0039714C" w:rsidRPr="00D806D9">
        <w:rPr>
          <w:rFonts w:asciiTheme="majorBidi" w:eastAsia="Times New Roman" w:hAnsiTheme="majorBidi" w:cstheme="majorBidi"/>
          <w:sz w:val="24"/>
          <w:szCs w:val="24"/>
          <w:lang w:val="en-US" w:eastAsia="fr-FR" w:bidi="he-IL"/>
        </w:rPr>
        <w:t xml:space="preserve">ly targeted, </w:t>
      </w:r>
      <w:r w:rsidR="005E06F5">
        <w:rPr>
          <w:rFonts w:asciiTheme="majorBidi" w:eastAsia="Times New Roman" w:hAnsiTheme="majorBidi" w:cstheme="majorBidi"/>
          <w:sz w:val="24"/>
          <w:szCs w:val="24"/>
          <w:lang w:val="en-US" w:eastAsia="fr-FR" w:bidi="he-IL"/>
        </w:rPr>
        <w:t xml:space="preserve">thus </w:t>
      </w:r>
      <w:r w:rsidR="0039714C" w:rsidRPr="00D806D9">
        <w:rPr>
          <w:rFonts w:asciiTheme="majorBidi" w:eastAsia="Times New Roman" w:hAnsiTheme="majorBidi" w:cstheme="majorBidi"/>
          <w:sz w:val="24"/>
          <w:szCs w:val="24"/>
          <w:lang w:val="en-US" w:eastAsia="fr-FR" w:bidi="he-IL"/>
        </w:rPr>
        <w:t xml:space="preserve">development and decarbonization </w:t>
      </w:r>
      <w:r w:rsidR="00481FD4" w:rsidRPr="00D806D9">
        <w:rPr>
          <w:rFonts w:asciiTheme="majorBidi" w:eastAsia="Times New Roman" w:hAnsiTheme="majorBidi" w:cstheme="majorBidi"/>
          <w:sz w:val="24"/>
          <w:szCs w:val="24"/>
          <w:lang w:val="en-US" w:eastAsia="fr-FR" w:bidi="he-IL"/>
        </w:rPr>
        <w:t xml:space="preserve">potentials </w:t>
      </w:r>
      <w:r w:rsidR="00FB05EF" w:rsidRPr="00D806D9">
        <w:rPr>
          <w:rFonts w:asciiTheme="majorBidi" w:eastAsia="Times New Roman" w:hAnsiTheme="majorBidi" w:cstheme="majorBidi"/>
          <w:sz w:val="24"/>
          <w:szCs w:val="24"/>
          <w:lang w:val="en-US" w:eastAsia="fr-FR" w:bidi="he-IL"/>
        </w:rPr>
        <w:t xml:space="preserve">of the LCH technologies need to be </w:t>
      </w:r>
      <w:r w:rsidR="00C71293" w:rsidRPr="00D806D9">
        <w:rPr>
          <w:rFonts w:asciiTheme="majorBidi" w:eastAsia="Times New Roman" w:hAnsiTheme="majorBidi" w:cstheme="majorBidi"/>
          <w:sz w:val="24"/>
          <w:szCs w:val="24"/>
          <w:lang w:val="en-US" w:eastAsia="fr-FR" w:bidi="he-IL"/>
        </w:rPr>
        <w:t>evaluated</w:t>
      </w:r>
      <w:r w:rsidR="00FB05EF" w:rsidRPr="00D806D9">
        <w:rPr>
          <w:rFonts w:asciiTheme="majorBidi" w:eastAsia="Times New Roman" w:hAnsiTheme="majorBidi" w:cstheme="majorBidi"/>
          <w:sz w:val="24"/>
          <w:szCs w:val="24"/>
          <w:lang w:val="en-US" w:eastAsia="fr-FR" w:bidi="he-IL"/>
        </w:rPr>
        <w:t xml:space="preserve"> as they</w:t>
      </w:r>
      <w:r w:rsidR="0039714C" w:rsidRPr="00D806D9">
        <w:rPr>
          <w:rFonts w:asciiTheme="majorBidi" w:eastAsia="Times New Roman" w:hAnsiTheme="majorBidi" w:cstheme="majorBidi"/>
          <w:sz w:val="24"/>
          <w:szCs w:val="24"/>
          <w:lang w:val="en-US" w:eastAsia="fr-FR" w:bidi="he-IL"/>
        </w:rPr>
        <w:t xml:space="preserve"> will impact CCfD </w:t>
      </w:r>
      <w:r w:rsidR="00C4138F" w:rsidRPr="00D806D9">
        <w:rPr>
          <w:rFonts w:asciiTheme="majorBidi" w:eastAsia="Times New Roman" w:hAnsiTheme="majorBidi" w:cstheme="majorBidi"/>
          <w:sz w:val="24"/>
          <w:szCs w:val="24"/>
          <w:lang w:val="en-US" w:eastAsia="fr-FR" w:bidi="he-IL"/>
        </w:rPr>
        <w:t>efficiency</w:t>
      </w:r>
      <w:r w:rsidR="0039714C" w:rsidRPr="00D806D9">
        <w:rPr>
          <w:rFonts w:asciiTheme="majorBidi" w:eastAsia="Times New Roman" w:hAnsiTheme="majorBidi" w:cstheme="majorBidi"/>
          <w:sz w:val="24"/>
          <w:szCs w:val="24"/>
          <w:lang w:val="en-US" w:eastAsia="fr-FR" w:bidi="he-IL"/>
        </w:rPr>
        <w:t>.</w:t>
      </w:r>
      <w:r w:rsidR="001137F1" w:rsidRPr="00D806D9">
        <w:rPr>
          <w:rFonts w:asciiTheme="majorBidi" w:eastAsia="Times New Roman" w:hAnsiTheme="majorBidi" w:cstheme="majorBidi"/>
          <w:color w:val="000000"/>
          <w:sz w:val="24"/>
          <w:szCs w:val="24"/>
          <w:lang w:val="en-US" w:eastAsia="fr-FR" w:bidi="he-IL"/>
        </w:rPr>
        <w:t xml:space="preserve"> </w:t>
      </w:r>
      <w:r w:rsidR="00CC3C8C" w:rsidRPr="00D806D9">
        <w:rPr>
          <w:rFonts w:asciiTheme="majorBidi" w:eastAsia="Times New Roman" w:hAnsiTheme="majorBidi" w:cstheme="majorBidi"/>
          <w:sz w:val="24"/>
          <w:szCs w:val="24"/>
          <w:lang w:val="en-US" w:eastAsia="fr-FR" w:bidi="he-IL"/>
        </w:rPr>
        <w:t xml:space="preserve">Consequently, although </w:t>
      </w:r>
      <w:r w:rsidR="00242CCE" w:rsidRPr="00D806D9">
        <w:rPr>
          <w:rFonts w:asciiTheme="majorBidi" w:eastAsia="Times New Roman" w:hAnsiTheme="majorBidi" w:cstheme="majorBidi"/>
          <w:sz w:val="24"/>
          <w:szCs w:val="24"/>
          <w:lang w:val="en-US" w:eastAsia="fr-FR" w:bidi="he-IL"/>
        </w:rPr>
        <w:t xml:space="preserve">building </w:t>
      </w:r>
      <w:r w:rsidR="00C71293" w:rsidRPr="00D806D9">
        <w:rPr>
          <w:rFonts w:asciiTheme="majorBidi" w:eastAsia="Times New Roman" w:hAnsiTheme="majorBidi" w:cstheme="majorBidi"/>
          <w:sz w:val="24"/>
          <w:szCs w:val="24"/>
          <w:lang w:val="en-US" w:eastAsia="fr-FR" w:bidi="he-IL"/>
        </w:rPr>
        <w:t xml:space="preserve">up </w:t>
      </w:r>
      <w:r w:rsidR="00242CCE" w:rsidRPr="00D806D9">
        <w:rPr>
          <w:rFonts w:asciiTheme="majorBidi" w:eastAsia="Times New Roman" w:hAnsiTheme="majorBidi" w:cstheme="majorBidi"/>
          <w:sz w:val="24"/>
          <w:szCs w:val="24"/>
          <w:lang w:val="en-US" w:eastAsia="fr-FR" w:bidi="he-IL"/>
        </w:rPr>
        <w:t>its analysis</w:t>
      </w:r>
      <w:r w:rsidR="00CC3C8C" w:rsidRPr="00D806D9">
        <w:rPr>
          <w:rFonts w:asciiTheme="majorBidi" w:eastAsia="Times New Roman" w:hAnsiTheme="majorBidi" w:cstheme="majorBidi"/>
          <w:sz w:val="24"/>
          <w:szCs w:val="24"/>
          <w:lang w:val="en-US" w:eastAsia="fr-FR" w:bidi="he-IL"/>
        </w:rPr>
        <w:t xml:space="preserve"> on environmental L&amp;E, LCH requires a </w:t>
      </w:r>
      <w:proofErr w:type="spellStart"/>
      <w:r w:rsidR="00CC3C8C" w:rsidRPr="00D806D9">
        <w:rPr>
          <w:rFonts w:asciiTheme="majorBidi" w:eastAsia="Times New Roman" w:hAnsiTheme="majorBidi" w:cstheme="majorBidi"/>
          <w:sz w:val="24"/>
          <w:szCs w:val="24"/>
          <w:lang w:val="en-US" w:eastAsia="fr-FR" w:bidi="he-IL"/>
        </w:rPr>
        <w:t>macroperspective</w:t>
      </w:r>
      <w:proofErr w:type="spellEnd"/>
      <w:r w:rsidR="00242CCE" w:rsidRPr="00D806D9">
        <w:rPr>
          <w:rFonts w:asciiTheme="majorBidi" w:eastAsia="Times New Roman" w:hAnsiTheme="majorBidi" w:cstheme="majorBidi"/>
          <w:sz w:val="24"/>
          <w:szCs w:val="24"/>
          <w:lang w:val="en-US" w:eastAsia="fr-FR" w:bidi="he-IL"/>
        </w:rPr>
        <w:t xml:space="preserve">, a succinct techno-economic </w:t>
      </w:r>
      <w:r w:rsidR="00404004" w:rsidRPr="00D806D9">
        <w:rPr>
          <w:rFonts w:asciiTheme="majorBidi" w:eastAsia="Times New Roman" w:hAnsiTheme="majorBidi" w:cstheme="majorBidi"/>
          <w:sz w:val="24"/>
          <w:szCs w:val="24"/>
          <w:lang w:val="en-US" w:eastAsia="fr-FR" w:bidi="he-IL"/>
        </w:rPr>
        <w:t>assessment</w:t>
      </w:r>
      <w:r w:rsidR="00242CCE" w:rsidRPr="00D806D9">
        <w:rPr>
          <w:rFonts w:asciiTheme="majorBidi" w:eastAsia="Times New Roman" w:hAnsiTheme="majorBidi" w:cstheme="majorBidi"/>
          <w:sz w:val="24"/>
          <w:szCs w:val="24"/>
          <w:lang w:val="en-US" w:eastAsia="fr-FR" w:bidi="he-IL"/>
        </w:rPr>
        <w:t xml:space="preserve"> </w:t>
      </w:r>
      <w:r w:rsidR="00404004" w:rsidRPr="00D806D9">
        <w:rPr>
          <w:rFonts w:asciiTheme="majorBidi" w:eastAsia="Times New Roman" w:hAnsiTheme="majorBidi" w:cstheme="majorBidi"/>
          <w:sz w:val="24"/>
          <w:szCs w:val="24"/>
          <w:lang w:val="en-US" w:eastAsia="fr-FR" w:bidi="he-IL"/>
        </w:rPr>
        <w:t xml:space="preserve">retaining only </w:t>
      </w:r>
      <w:r w:rsidR="005E06F5">
        <w:rPr>
          <w:rFonts w:asciiTheme="majorBidi" w:eastAsia="Times New Roman" w:hAnsiTheme="majorBidi" w:cstheme="majorBidi"/>
          <w:sz w:val="24"/>
          <w:szCs w:val="24"/>
          <w:lang w:val="en-US" w:eastAsia="fr-FR" w:bidi="he-IL"/>
        </w:rPr>
        <w:t>LCH’s</w:t>
      </w:r>
      <w:r w:rsidR="00404004" w:rsidRPr="00D806D9">
        <w:rPr>
          <w:rFonts w:asciiTheme="majorBidi" w:eastAsia="Times New Roman" w:hAnsiTheme="majorBidi" w:cstheme="majorBidi"/>
          <w:sz w:val="24"/>
          <w:szCs w:val="24"/>
          <w:lang w:val="en-US" w:eastAsia="fr-FR" w:bidi="he-IL"/>
        </w:rPr>
        <w:t xml:space="preserve"> main technological fundamentals and prospects </w:t>
      </w:r>
      <w:r w:rsidR="00EF2DD6" w:rsidRPr="00D806D9">
        <w:rPr>
          <w:rFonts w:asciiTheme="majorBidi" w:eastAsia="Times New Roman" w:hAnsiTheme="majorBidi" w:cstheme="majorBidi"/>
          <w:sz w:val="24"/>
          <w:szCs w:val="24"/>
          <w:lang w:val="en-US" w:eastAsia="fr-FR" w:bidi="he-IL"/>
        </w:rPr>
        <w:t>will then usefully complement the analysis.</w:t>
      </w:r>
      <w:r w:rsidR="00F74A60" w:rsidRPr="00D806D9">
        <w:rPr>
          <w:rFonts w:asciiTheme="majorBidi" w:eastAsia="Times New Roman" w:hAnsiTheme="majorBidi" w:cstheme="majorBidi"/>
          <w:sz w:val="24"/>
          <w:szCs w:val="24"/>
          <w:lang w:val="en-US" w:eastAsia="fr-FR" w:bidi="he-IL"/>
        </w:rPr>
        <w:t xml:space="preserve"> </w:t>
      </w:r>
      <w:r w:rsidR="00CC3C8C" w:rsidRPr="00D806D9">
        <w:rPr>
          <w:rFonts w:asciiTheme="majorBidi" w:eastAsia="Times New Roman" w:hAnsiTheme="majorBidi" w:cstheme="majorBidi"/>
          <w:sz w:val="24"/>
          <w:szCs w:val="24"/>
          <w:lang w:val="en-US" w:eastAsia="fr-FR" w:bidi="he-IL"/>
        </w:rPr>
        <w:lastRenderedPageBreak/>
        <w:t xml:space="preserve">Ultimately, this work </w:t>
      </w:r>
      <w:r w:rsidR="00066CA4" w:rsidRPr="00D806D9">
        <w:rPr>
          <w:rFonts w:asciiTheme="majorBidi" w:eastAsia="Times New Roman" w:hAnsiTheme="majorBidi" w:cstheme="majorBidi"/>
          <w:sz w:val="24"/>
          <w:szCs w:val="24"/>
          <w:lang w:val="en-US" w:eastAsia="fr-FR" w:bidi="he-IL"/>
        </w:rPr>
        <w:t xml:space="preserve">employs </w:t>
      </w:r>
      <w:r w:rsidR="00CC3C8C" w:rsidRPr="00D806D9">
        <w:rPr>
          <w:rFonts w:asciiTheme="majorBidi" w:eastAsia="Times New Roman" w:hAnsiTheme="majorBidi" w:cstheme="majorBidi"/>
          <w:sz w:val="24"/>
          <w:szCs w:val="24"/>
          <w:lang w:val="en-US" w:eastAsia="fr-FR" w:bidi="he-IL"/>
        </w:rPr>
        <w:t>a</w:t>
      </w:r>
      <w:r w:rsidR="00F74A60" w:rsidRPr="00D806D9">
        <w:rPr>
          <w:rFonts w:asciiTheme="majorBidi" w:eastAsia="Times New Roman" w:hAnsiTheme="majorBidi" w:cstheme="majorBidi"/>
          <w:sz w:val="24"/>
          <w:szCs w:val="24"/>
          <w:lang w:val="en-US" w:eastAsia="fr-FR" w:bidi="he-IL"/>
        </w:rPr>
        <w:t xml:space="preserve">n </w:t>
      </w:r>
      <w:r w:rsidR="005E06F5">
        <w:rPr>
          <w:rFonts w:asciiTheme="majorBidi" w:eastAsia="Times New Roman" w:hAnsiTheme="majorBidi" w:cstheme="majorBidi"/>
          <w:sz w:val="24"/>
          <w:szCs w:val="24"/>
          <w:lang w:val="en-US" w:eastAsia="fr-FR" w:bidi="he-IL"/>
        </w:rPr>
        <w:t>interdisciplinary</w:t>
      </w:r>
      <w:r w:rsidR="00CC3C8C" w:rsidRPr="00D806D9">
        <w:rPr>
          <w:rFonts w:asciiTheme="majorBidi" w:eastAsia="Times New Roman" w:hAnsiTheme="majorBidi" w:cstheme="majorBidi"/>
          <w:sz w:val="24"/>
          <w:szCs w:val="24"/>
          <w:lang w:val="en-US" w:eastAsia="fr-FR" w:bidi="he-IL"/>
        </w:rPr>
        <w:t xml:space="preserve"> </w:t>
      </w:r>
      <w:r w:rsidR="00066CA4" w:rsidRPr="00D806D9">
        <w:rPr>
          <w:rFonts w:asciiTheme="majorBidi" w:eastAsia="Times New Roman" w:hAnsiTheme="majorBidi" w:cstheme="majorBidi"/>
          <w:sz w:val="24"/>
          <w:szCs w:val="24"/>
          <w:lang w:val="en-US" w:eastAsia="fr-FR" w:bidi="he-IL"/>
        </w:rPr>
        <w:t xml:space="preserve">perspective of </w:t>
      </w:r>
      <w:r w:rsidR="00CC3C8C" w:rsidRPr="00D806D9">
        <w:rPr>
          <w:rFonts w:asciiTheme="majorBidi" w:eastAsia="Times New Roman" w:hAnsiTheme="majorBidi" w:cstheme="majorBidi"/>
          <w:sz w:val="24"/>
          <w:szCs w:val="24"/>
          <w:lang w:val="en-US" w:eastAsia="fr-FR" w:bidi="he-IL"/>
        </w:rPr>
        <w:t xml:space="preserve">the scientific and institutional literature available. </w:t>
      </w:r>
      <w:r w:rsidR="000C6629" w:rsidRPr="00D806D9">
        <w:rPr>
          <w:rFonts w:asciiTheme="majorBidi" w:eastAsia="Times New Roman" w:hAnsiTheme="majorBidi" w:cstheme="majorBidi"/>
          <w:sz w:val="24"/>
          <w:szCs w:val="24"/>
          <w:lang w:val="en-US" w:eastAsia="fr-FR" w:bidi="he-IL"/>
        </w:rPr>
        <w:t>It</w:t>
      </w:r>
      <w:r w:rsidR="00A95704" w:rsidRPr="00D806D9">
        <w:rPr>
          <w:rFonts w:asciiTheme="majorBidi" w:eastAsia="Times New Roman" w:hAnsiTheme="majorBidi" w:cstheme="majorBidi"/>
          <w:sz w:val="24"/>
          <w:szCs w:val="24"/>
          <w:lang w:val="en-US" w:eastAsia="fr-FR" w:bidi="he-IL"/>
        </w:rPr>
        <w:t xml:space="preserve"> does not account for the entire EU</w:t>
      </w:r>
      <w:r w:rsidR="000C6629" w:rsidRPr="00D806D9">
        <w:rPr>
          <w:rFonts w:asciiTheme="majorBidi" w:eastAsia="Times New Roman" w:hAnsiTheme="majorBidi" w:cstheme="majorBidi"/>
          <w:sz w:val="24"/>
          <w:szCs w:val="24"/>
          <w:lang w:val="en-US" w:eastAsia="fr-FR" w:bidi="he-IL"/>
        </w:rPr>
        <w:t>-</w:t>
      </w:r>
      <w:r w:rsidR="00A95704" w:rsidRPr="00D806D9">
        <w:rPr>
          <w:rFonts w:asciiTheme="majorBidi" w:eastAsia="Times New Roman" w:hAnsiTheme="majorBidi" w:cstheme="majorBidi"/>
          <w:sz w:val="24"/>
          <w:szCs w:val="24"/>
          <w:lang w:val="en-US" w:eastAsia="fr-FR" w:bidi="he-IL"/>
        </w:rPr>
        <w:t xml:space="preserve">ETS policy but solely for its features relevant </w:t>
      </w:r>
      <w:r w:rsidR="005E06F5">
        <w:rPr>
          <w:rFonts w:asciiTheme="majorBidi" w:eastAsia="Times New Roman" w:hAnsiTheme="majorBidi" w:cstheme="majorBidi"/>
          <w:sz w:val="24"/>
          <w:szCs w:val="24"/>
          <w:lang w:val="en-US" w:eastAsia="fr-FR" w:bidi="he-IL"/>
        </w:rPr>
        <w:t>to</w:t>
      </w:r>
      <w:r w:rsidR="00DB5D42" w:rsidRPr="00D806D9">
        <w:rPr>
          <w:rFonts w:asciiTheme="majorBidi" w:eastAsia="Times New Roman" w:hAnsiTheme="majorBidi" w:cstheme="majorBidi"/>
          <w:sz w:val="24"/>
          <w:szCs w:val="24"/>
          <w:lang w:val="en-US" w:eastAsia="fr-FR" w:bidi="he-IL"/>
        </w:rPr>
        <w:t xml:space="preserve"> this a</w:t>
      </w:r>
      <w:r w:rsidR="00A95704" w:rsidRPr="00D806D9">
        <w:rPr>
          <w:rFonts w:asciiTheme="majorBidi" w:eastAsia="Times New Roman" w:hAnsiTheme="majorBidi" w:cstheme="majorBidi"/>
          <w:sz w:val="24"/>
          <w:szCs w:val="24"/>
          <w:lang w:val="en-US" w:eastAsia="fr-FR" w:bidi="he-IL"/>
        </w:rPr>
        <w:t xml:space="preserve">nalysis. </w:t>
      </w:r>
      <w:r w:rsidR="00863FEF" w:rsidRPr="00D806D9">
        <w:rPr>
          <w:rFonts w:asciiTheme="majorBidi" w:eastAsia="Times New Roman" w:hAnsiTheme="majorBidi" w:cstheme="majorBidi"/>
          <w:sz w:val="24"/>
          <w:szCs w:val="24"/>
          <w:lang w:val="en-US" w:eastAsia="fr-FR" w:bidi="he-IL"/>
        </w:rPr>
        <w:t xml:space="preserve">Besides, </w:t>
      </w:r>
      <w:r w:rsidR="00A95704" w:rsidRPr="00D806D9">
        <w:rPr>
          <w:rFonts w:asciiTheme="majorBidi" w:eastAsia="Times New Roman" w:hAnsiTheme="majorBidi" w:cstheme="majorBidi"/>
          <w:sz w:val="24"/>
          <w:szCs w:val="24"/>
          <w:lang w:val="en-US" w:eastAsia="fr-FR" w:bidi="he-IL"/>
        </w:rPr>
        <w:t xml:space="preserve">given the uncertainty surrounding innovation processes and the diversity of methodologies used, costs cannot be directly </w:t>
      </w:r>
      <w:r w:rsidR="001D7188" w:rsidRPr="00D806D9">
        <w:rPr>
          <w:rFonts w:asciiTheme="majorBidi" w:eastAsia="Times New Roman" w:hAnsiTheme="majorBidi" w:cstheme="majorBidi"/>
          <w:sz w:val="24"/>
          <w:szCs w:val="24"/>
          <w:lang w:val="en-US" w:eastAsia="fr-FR" w:bidi="he-IL"/>
        </w:rPr>
        <w:t>compared,</w:t>
      </w:r>
      <w:r w:rsidR="00863FEF" w:rsidRPr="00D806D9">
        <w:rPr>
          <w:rFonts w:asciiTheme="majorBidi" w:eastAsia="Times New Roman" w:hAnsiTheme="majorBidi" w:cstheme="majorBidi"/>
          <w:sz w:val="24"/>
          <w:szCs w:val="24"/>
          <w:lang w:val="en-US" w:eastAsia="fr-FR" w:bidi="he-IL"/>
        </w:rPr>
        <w:t xml:space="preserve"> and the </w:t>
      </w:r>
      <w:r w:rsidR="00742100" w:rsidRPr="00D806D9">
        <w:rPr>
          <w:rFonts w:asciiTheme="majorBidi" w:eastAsia="Times New Roman" w:hAnsiTheme="majorBidi" w:cstheme="majorBidi"/>
          <w:sz w:val="24"/>
          <w:szCs w:val="24"/>
          <w:lang w:val="en-US" w:eastAsia="fr-FR" w:bidi="he-IL"/>
        </w:rPr>
        <w:t>figures used in</w:t>
      </w:r>
      <w:r w:rsidR="00863FEF" w:rsidRPr="00D806D9">
        <w:rPr>
          <w:rFonts w:asciiTheme="majorBidi" w:eastAsia="Times New Roman" w:hAnsiTheme="majorBidi" w:cstheme="majorBidi"/>
          <w:sz w:val="24"/>
          <w:szCs w:val="24"/>
          <w:lang w:val="en-US" w:eastAsia="fr-FR" w:bidi="he-IL"/>
        </w:rPr>
        <w:t xml:space="preserve"> this work should be </w:t>
      </w:r>
      <w:r w:rsidR="00742100" w:rsidRPr="00D806D9">
        <w:rPr>
          <w:rFonts w:asciiTheme="majorBidi" w:eastAsia="Times New Roman" w:hAnsiTheme="majorBidi" w:cstheme="majorBidi"/>
          <w:sz w:val="24"/>
          <w:szCs w:val="24"/>
          <w:lang w:val="en-US" w:eastAsia="fr-FR" w:bidi="he-IL"/>
        </w:rPr>
        <w:t>interpreted in</w:t>
      </w:r>
      <w:r w:rsidR="00A95704" w:rsidRPr="00D806D9">
        <w:rPr>
          <w:rFonts w:asciiTheme="majorBidi" w:eastAsia="Times New Roman" w:hAnsiTheme="majorBidi" w:cstheme="majorBidi"/>
          <w:sz w:val="24"/>
          <w:szCs w:val="24"/>
          <w:lang w:val="en-US" w:eastAsia="fr-FR" w:bidi="he-IL"/>
        </w:rPr>
        <w:t xml:space="preserve"> </w:t>
      </w:r>
      <w:r w:rsidR="00863FEF" w:rsidRPr="00D806D9">
        <w:rPr>
          <w:rFonts w:asciiTheme="majorBidi" w:eastAsia="Times New Roman" w:hAnsiTheme="majorBidi" w:cstheme="majorBidi"/>
          <w:sz w:val="24"/>
          <w:szCs w:val="24"/>
          <w:lang w:val="en-US" w:eastAsia="fr-FR" w:bidi="he-IL"/>
        </w:rPr>
        <w:t>OoM</w:t>
      </w:r>
      <w:r w:rsidR="00464B42" w:rsidRPr="00D806D9">
        <w:rPr>
          <w:rFonts w:asciiTheme="majorBidi" w:eastAsia="Times New Roman" w:hAnsiTheme="majorBidi" w:cstheme="majorBidi"/>
          <w:sz w:val="24"/>
          <w:szCs w:val="24"/>
          <w:lang w:val="en-US" w:eastAsia="fr-FR" w:bidi="he-IL"/>
        </w:rPr>
        <w:t xml:space="preserve"> terms</w:t>
      </w:r>
      <w:r w:rsidR="00A95704" w:rsidRPr="00D806D9">
        <w:rPr>
          <w:rFonts w:asciiTheme="majorBidi" w:eastAsia="Times New Roman" w:hAnsiTheme="majorBidi" w:cstheme="majorBidi"/>
          <w:sz w:val="24"/>
          <w:szCs w:val="24"/>
          <w:lang w:val="en-US" w:eastAsia="fr-FR" w:bidi="he-IL"/>
        </w:rPr>
        <w:t>.</w:t>
      </w:r>
      <w:r w:rsidR="00DB5D42" w:rsidRPr="00D806D9">
        <w:rPr>
          <w:rFonts w:asciiTheme="majorBidi" w:eastAsia="Times New Roman" w:hAnsiTheme="majorBidi" w:cstheme="majorBidi"/>
          <w:sz w:val="24"/>
          <w:szCs w:val="24"/>
          <w:lang w:val="en-US" w:eastAsia="fr-FR" w:bidi="he-IL"/>
        </w:rPr>
        <w:t xml:space="preserve"> </w:t>
      </w:r>
      <w:r w:rsidR="00742100" w:rsidRPr="00D806D9">
        <w:rPr>
          <w:rFonts w:asciiTheme="majorBidi" w:eastAsia="Times New Roman" w:hAnsiTheme="majorBidi" w:cstheme="majorBidi"/>
          <w:sz w:val="24"/>
          <w:szCs w:val="24"/>
          <w:lang w:val="en-US" w:eastAsia="fr-FR" w:bidi="he-IL"/>
        </w:rPr>
        <w:t>Further</w:t>
      </w:r>
      <w:r w:rsidR="008B7028">
        <w:rPr>
          <w:rFonts w:asciiTheme="majorBidi" w:eastAsia="Times New Roman" w:hAnsiTheme="majorBidi" w:cstheme="majorBidi"/>
          <w:sz w:val="24"/>
          <w:szCs w:val="24"/>
          <w:lang w:val="en-US" w:eastAsia="fr-FR" w:bidi="he-IL"/>
        </w:rPr>
        <w:t>more</w:t>
      </w:r>
      <w:r w:rsidR="00742100" w:rsidRPr="00D806D9">
        <w:rPr>
          <w:rFonts w:asciiTheme="majorBidi" w:eastAsia="Times New Roman" w:hAnsiTheme="majorBidi" w:cstheme="majorBidi"/>
          <w:sz w:val="24"/>
          <w:szCs w:val="24"/>
          <w:lang w:val="en-US" w:eastAsia="fr-FR" w:bidi="he-IL"/>
        </w:rPr>
        <w:t xml:space="preserve">, as the EC has not yet communicated how CCfD </w:t>
      </w:r>
      <w:r w:rsidR="00AA032B" w:rsidRPr="00D806D9">
        <w:rPr>
          <w:rFonts w:asciiTheme="majorBidi" w:eastAsia="Times New Roman" w:hAnsiTheme="majorBidi" w:cstheme="majorBidi"/>
          <w:sz w:val="24"/>
          <w:szCs w:val="24"/>
          <w:lang w:val="en-US" w:eastAsia="fr-FR" w:bidi="he-IL"/>
        </w:rPr>
        <w:t>would</w:t>
      </w:r>
      <w:r w:rsidR="00742100" w:rsidRPr="00D806D9">
        <w:rPr>
          <w:rFonts w:asciiTheme="majorBidi" w:eastAsia="Times New Roman" w:hAnsiTheme="majorBidi" w:cstheme="majorBidi"/>
          <w:sz w:val="24"/>
          <w:szCs w:val="24"/>
          <w:lang w:val="en-US" w:eastAsia="fr-FR" w:bidi="he-IL"/>
        </w:rPr>
        <w:t xml:space="preserve"> be implemented</w:t>
      </w:r>
      <w:r w:rsidR="0083208D" w:rsidRPr="00D806D9">
        <w:rPr>
          <w:rFonts w:asciiTheme="majorBidi" w:eastAsia="Times New Roman" w:hAnsiTheme="majorBidi" w:cstheme="majorBidi"/>
          <w:sz w:val="24"/>
          <w:szCs w:val="24"/>
          <w:lang w:val="en-US" w:eastAsia="fr-FR" w:bidi="he-IL"/>
        </w:rPr>
        <w:t xml:space="preserve"> (to come during Q4 2022)</w:t>
      </w:r>
      <w:r w:rsidR="00742100" w:rsidRPr="00D806D9">
        <w:rPr>
          <w:rFonts w:asciiTheme="majorBidi" w:eastAsia="Times New Roman" w:hAnsiTheme="majorBidi" w:cstheme="majorBidi"/>
          <w:sz w:val="24"/>
          <w:szCs w:val="24"/>
          <w:lang w:val="en-US" w:eastAsia="fr-FR" w:bidi="he-IL"/>
        </w:rPr>
        <w:t>, this work is limited to hypotheticals</w:t>
      </w:r>
      <w:r w:rsidR="00292AA2" w:rsidRPr="00D806D9">
        <w:rPr>
          <w:rFonts w:asciiTheme="majorBidi" w:eastAsia="Times New Roman" w:hAnsiTheme="majorBidi" w:cstheme="majorBidi"/>
          <w:sz w:val="24"/>
          <w:szCs w:val="24"/>
          <w:lang w:val="en-US" w:eastAsia="fr-FR" w:bidi="he-IL"/>
        </w:rPr>
        <w:t xml:space="preserve"> as to its operationality</w:t>
      </w:r>
      <w:r w:rsidR="00742100" w:rsidRPr="00D806D9">
        <w:rPr>
          <w:rFonts w:asciiTheme="majorBidi" w:eastAsia="Times New Roman" w:hAnsiTheme="majorBidi" w:cstheme="majorBidi"/>
          <w:sz w:val="24"/>
          <w:szCs w:val="24"/>
          <w:lang w:val="en-US" w:eastAsia="fr-FR" w:bidi="he-IL"/>
        </w:rPr>
        <w:t>.</w:t>
      </w:r>
      <w:r w:rsidR="00CC3C8C" w:rsidRPr="00D806D9">
        <w:rPr>
          <w:rFonts w:asciiTheme="majorBidi" w:eastAsia="Times New Roman" w:hAnsiTheme="majorBidi" w:cstheme="majorBidi"/>
          <w:sz w:val="24"/>
          <w:szCs w:val="24"/>
          <w:lang w:val="en-US" w:eastAsia="fr-FR" w:bidi="he-IL"/>
        </w:rPr>
        <w:t xml:space="preserve"> In this sense</w:t>
      </w:r>
      <w:r w:rsidR="00CC3C8C" w:rsidRPr="00D806D9">
        <w:rPr>
          <w:rFonts w:asciiTheme="majorBidi" w:eastAsia="Times New Roman" w:hAnsiTheme="majorBidi" w:cstheme="majorBidi"/>
          <w:color w:val="000000"/>
          <w:sz w:val="24"/>
          <w:szCs w:val="24"/>
          <w:lang w:val="en-US" w:eastAsia="fr-FR" w:bidi="he-IL"/>
        </w:rPr>
        <w:t xml:space="preserve">, this work </w:t>
      </w:r>
      <w:r w:rsidR="00AA032B" w:rsidRPr="00D806D9">
        <w:rPr>
          <w:rFonts w:asciiTheme="majorBidi" w:eastAsia="Times New Roman" w:hAnsiTheme="majorBidi" w:cstheme="majorBidi"/>
          <w:color w:val="000000"/>
          <w:sz w:val="24"/>
          <w:szCs w:val="24"/>
          <w:lang w:val="en-US" w:eastAsia="fr-FR" w:bidi="he-IL"/>
        </w:rPr>
        <w:t>aims at analyzing critically the LCH technology and the CCfD regulatory choice for its development</w:t>
      </w:r>
      <w:r w:rsidR="0083208D" w:rsidRPr="00D806D9">
        <w:rPr>
          <w:rFonts w:asciiTheme="majorBidi" w:eastAsia="Times New Roman" w:hAnsiTheme="majorBidi" w:cstheme="majorBidi"/>
          <w:color w:val="000000"/>
          <w:sz w:val="24"/>
          <w:szCs w:val="24"/>
          <w:lang w:val="en-US" w:eastAsia="fr-FR" w:bidi="he-IL"/>
        </w:rPr>
        <w:t>, notably examining its consistency with the EC climate ambitions and commitments</w:t>
      </w:r>
      <w:r w:rsidR="00CC3C8C" w:rsidRPr="00D806D9">
        <w:rPr>
          <w:rFonts w:asciiTheme="majorBidi" w:eastAsia="Times New Roman" w:hAnsiTheme="majorBidi" w:cstheme="majorBidi"/>
          <w:color w:val="000000"/>
          <w:sz w:val="24"/>
          <w:szCs w:val="24"/>
          <w:lang w:val="en-US" w:eastAsia="fr-FR" w:bidi="he-IL"/>
        </w:rPr>
        <w:t>.</w:t>
      </w:r>
    </w:p>
    <w:p w14:paraId="3B0035AE" w14:textId="2B4077B0" w:rsidR="00A95704" w:rsidRPr="00D806D9" w:rsidRDefault="00A95704"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T</w:t>
      </w:r>
      <w:r w:rsidRPr="00D806D9">
        <w:rPr>
          <w:rFonts w:asciiTheme="majorBidi" w:eastAsia="Times New Roman" w:hAnsiTheme="majorBidi" w:cstheme="majorBidi"/>
          <w:sz w:val="24"/>
          <w:szCs w:val="24"/>
          <w:lang w:val="en-US" w:eastAsia="fr-FR" w:bidi="he-IL"/>
        </w:rPr>
        <w:t xml:space="preserve">his work is </w:t>
      </w:r>
      <w:r w:rsidRPr="00D806D9">
        <w:rPr>
          <w:rFonts w:asciiTheme="majorBidi" w:eastAsia="Times New Roman" w:hAnsiTheme="majorBidi" w:cstheme="majorBidi"/>
          <w:color w:val="000000"/>
          <w:sz w:val="24"/>
          <w:szCs w:val="24"/>
          <w:lang w:val="en-US" w:eastAsia="fr-FR" w:bidi="he-IL"/>
        </w:rPr>
        <w:t xml:space="preserve">divided </w:t>
      </w:r>
      <w:r w:rsidR="005E06F5">
        <w:rPr>
          <w:rFonts w:asciiTheme="majorBidi" w:eastAsia="Times New Roman" w:hAnsiTheme="majorBidi" w:cstheme="majorBidi"/>
          <w:color w:val="000000"/>
          <w:sz w:val="24"/>
          <w:szCs w:val="24"/>
          <w:lang w:val="en-US" w:eastAsia="fr-FR" w:bidi="he-IL"/>
        </w:rPr>
        <w:t>into</w:t>
      </w:r>
      <w:r w:rsidRPr="00D806D9">
        <w:rPr>
          <w:rFonts w:asciiTheme="majorBidi" w:eastAsia="Times New Roman" w:hAnsiTheme="majorBidi" w:cstheme="majorBidi"/>
          <w:color w:val="000000"/>
          <w:sz w:val="24"/>
          <w:szCs w:val="24"/>
          <w:lang w:val="en-US" w:eastAsia="fr-FR" w:bidi="he-IL"/>
        </w:rPr>
        <w:t xml:space="preserve"> five different sections. </w:t>
      </w:r>
      <w:r w:rsidR="00BC5907" w:rsidRPr="00D806D9">
        <w:rPr>
          <w:rFonts w:asciiTheme="majorBidi" w:eastAsia="Times New Roman" w:hAnsiTheme="majorBidi" w:cstheme="majorBidi"/>
          <w:color w:val="000000"/>
          <w:sz w:val="24"/>
          <w:szCs w:val="24"/>
          <w:lang w:val="en-US" w:eastAsia="fr-FR" w:bidi="he-IL"/>
        </w:rPr>
        <w:t>Section 1</w:t>
      </w:r>
      <w:r w:rsidRPr="00D806D9">
        <w:rPr>
          <w:rFonts w:asciiTheme="majorBidi" w:eastAsia="Times New Roman" w:hAnsiTheme="majorBidi" w:cstheme="majorBidi"/>
          <w:color w:val="000000"/>
          <w:sz w:val="24"/>
          <w:szCs w:val="24"/>
          <w:lang w:val="en-US" w:eastAsia="fr-FR" w:bidi="he-IL"/>
        </w:rPr>
        <w:t xml:space="preserve"> will introduce the </w:t>
      </w:r>
      <w:r w:rsidR="0083208D" w:rsidRPr="00D806D9">
        <w:rPr>
          <w:rFonts w:asciiTheme="majorBidi" w:eastAsia="Times New Roman" w:hAnsiTheme="majorBidi" w:cstheme="majorBidi"/>
          <w:color w:val="000000"/>
          <w:sz w:val="24"/>
          <w:szCs w:val="24"/>
          <w:lang w:val="en-US" w:eastAsia="fr-FR" w:bidi="he-IL"/>
        </w:rPr>
        <w:t>theoretical</w:t>
      </w:r>
      <w:r w:rsidRPr="00D806D9">
        <w:rPr>
          <w:rFonts w:asciiTheme="majorBidi" w:eastAsia="Times New Roman" w:hAnsiTheme="majorBidi" w:cstheme="majorBidi"/>
          <w:color w:val="000000"/>
          <w:sz w:val="24"/>
          <w:szCs w:val="24"/>
          <w:lang w:val="en-US" w:eastAsia="fr-FR" w:bidi="he-IL"/>
        </w:rPr>
        <w:t xml:space="preserve"> framework. </w:t>
      </w:r>
      <w:r w:rsidR="00BC5907" w:rsidRPr="00D806D9">
        <w:rPr>
          <w:rFonts w:asciiTheme="majorBidi" w:eastAsia="Times New Roman" w:hAnsiTheme="majorBidi" w:cstheme="majorBidi"/>
          <w:color w:val="000000"/>
          <w:sz w:val="24"/>
          <w:szCs w:val="24"/>
          <w:lang w:val="en-US" w:eastAsia="fr-FR" w:bidi="he-IL"/>
        </w:rPr>
        <w:t>Section 2</w:t>
      </w:r>
      <w:r w:rsidRPr="00D806D9">
        <w:rPr>
          <w:rFonts w:asciiTheme="majorBidi" w:eastAsia="Times New Roman" w:hAnsiTheme="majorBidi" w:cstheme="majorBidi"/>
          <w:color w:val="000000"/>
          <w:sz w:val="24"/>
          <w:szCs w:val="24"/>
          <w:lang w:val="en-US" w:eastAsia="fr-FR" w:bidi="he-IL"/>
        </w:rPr>
        <w:t xml:space="preserve"> will </w:t>
      </w:r>
      <w:r w:rsidR="0083208D" w:rsidRPr="00D806D9">
        <w:rPr>
          <w:rFonts w:asciiTheme="majorBidi" w:eastAsia="Times New Roman" w:hAnsiTheme="majorBidi" w:cstheme="majorBidi"/>
          <w:color w:val="000000"/>
          <w:sz w:val="24"/>
          <w:szCs w:val="24"/>
          <w:lang w:val="en-US" w:eastAsia="fr-FR" w:bidi="he-IL"/>
        </w:rPr>
        <w:t xml:space="preserve">present a </w:t>
      </w:r>
      <w:r w:rsidRPr="00D806D9">
        <w:rPr>
          <w:rFonts w:asciiTheme="majorBidi" w:eastAsia="Times New Roman" w:hAnsiTheme="majorBidi" w:cstheme="majorBidi"/>
          <w:color w:val="000000"/>
          <w:sz w:val="24"/>
          <w:szCs w:val="24"/>
          <w:lang w:val="en-US" w:eastAsia="fr-FR" w:bidi="he-IL"/>
        </w:rPr>
        <w:t xml:space="preserve">techno-economic assessment </w:t>
      </w:r>
      <w:r w:rsidR="003E49AA" w:rsidRPr="00D806D9">
        <w:rPr>
          <w:rFonts w:asciiTheme="majorBidi" w:eastAsia="Times New Roman" w:hAnsiTheme="majorBidi" w:cstheme="majorBidi"/>
          <w:color w:val="000000"/>
          <w:sz w:val="24"/>
          <w:szCs w:val="24"/>
          <w:lang w:val="en-US" w:eastAsia="fr-FR" w:bidi="he-IL"/>
        </w:rPr>
        <w:t xml:space="preserve">of </w:t>
      </w:r>
      <w:r w:rsidRPr="00D806D9">
        <w:rPr>
          <w:rFonts w:asciiTheme="majorBidi" w:eastAsia="Times New Roman" w:hAnsiTheme="majorBidi" w:cstheme="majorBidi"/>
          <w:color w:val="000000"/>
          <w:sz w:val="24"/>
          <w:szCs w:val="24"/>
          <w:lang w:val="en-US" w:eastAsia="fr-FR" w:bidi="he-IL"/>
        </w:rPr>
        <w:t xml:space="preserve">how LHC could lead to GHGE reduction and </w:t>
      </w:r>
      <w:r w:rsidR="00E85751" w:rsidRPr="00D806D9">
        <w:rPr>
          <w:rFonts w:asciiTheme="majorBidi" w:eastAsia="Times New Roman" w:hAnsiTheme="majorBidi" w:cstheme="majorBidi"/>
          <w:color w:val="000000"/>
          <w:sz w:val="24"/>
          <w:szCs w:val="24"/>
          <w:lang w:val="en-US" w:eastAsia="fr-FR" w:bidi="he-IL"/>
        </w:rPr>
        <w:t>the related</w:t>
      </w:r>
      <w:r w:rsidRPr="00D806D9">
        <w:rPr>
          <w:rFonts w:asciiTheme="majorBidi" w:eastAsia="Times New Roman" w:hAnsiTheme="majorBidi" w:cstheme="majorBidi"/>
          <w:color w:val="000000"/>
          <w:sz w:val="24"/>
          <w:szCs w:val="24"/>
          <w:lang w:val="en-US" w:eastAsia="fr-FR" w:bidi="he-IL"/>
        </w:rPr>
        <w:t xml:space="preserve"> limitations. </w:t>
      </w:r>
      <w:r w:rsidR="00BC5907" w:rsidRPr="00D806D9">
        <w:rPr>
          <w:rFonts w:asciiTheme="majorBidi" w:eastAsia="Times New Roman" w:hAnsiTheme="majorBidi" w:cstheme="majorBidi"/>
          <w:color w:val="000000"/>
          <w:sz w:val="24"/>
          <w:szCs w:val="24"/>
          <w:lang w:val="en-US" w:eastAsia="fr-FR" w:bidi="he-IL"/>
        </w:rPr>
        <w:t xml:space="preserve">Section 3 </w:t>
      </w:r>
      <w:r w:rsidR="0083208D" w:rsidRPr="00D806D9">
        <w:rPr>
          <w:rFonts w:asciiTheme="majorBidi" w:eastAsia="Times New Roman" w:hAnsiTheme="majorBidi" w:cstheme="majorBidi"/>
          <w:color w:val="000000"/>
          <w:sz w:val="24"/>
          <w:szCs w:val="24"/>
          <w:lang w:val="en-US" w:eastAsia="fr-FR" w:bidi="he-IL"/>
        </w:rPr>
        <w:t xml:space="preserve">will </w:t>
      </w:r>
      <w:r w:rsidR="005E06F5">
        <w:rPr>
          <w:rFonts w:asciiTheme="majorBidi" w:eastAsia="Times New Roman" w:hAnsiTheme="majorBidi" w:cstheme="majorBidi"/>
          <w:color w:val="000000"/>
          <w:sz w:val="24"/>
          <w:szCs w:val="24"/>
          <w:lang w:val="en-US" w:eastAsia="fr-FR" w:bidi="he-IL"/>
        </w:rPr>
        <w:t>examine</w:t>
      </w:r>
      <w:r w:rsidR="0083208D" w:rsidRPr="00D806D9">
        <w:rPr>
          <w:rFonts w:asciiTheme="majorBidi" w:eastAsia="Times New Roman" w:hAnsiTheme="majorBidi" w:cstheme="majorBidi"/>
          <w:color w:val="000000"/>
          <w:sz w:val="24"/>
          <w:szCs w:val="24"/>
          <w:lang w:val="en-US" w:eastAsia="fr-FR" w:bidi="he-IL"/>
        </w:rPr>
        <w:t xml:space="preserve"> the EU-ETS and how it is relevant </w:t>
      </w:r>
      <w:r w:rsidR="0083208D" w:rsidRPr="00D806D9">
        <w:rPr>
          <w:rFonts w:asciiTheme="majorBidi" w:eastAsia="Times New Roman" w:hAnsiTheme="majorBidi" w:cstheme="majorBidi"/>
          <w:sz w:val="24"/>
          <w:szCs w:val="24"/>
          <w:lang w:val="en-US" w:eastAsia="fr-FR" w:bidi="he-IL"/>
        </w:rPr>
        <w:t xml:space="preserve">for the CCfD implementation. </w:t>
      </w:r>
      <w:r w:rsidR="00BC5907" w:rsidRPr="00D806D9">
        <w:rPr>
          <w:rFonts w:asciiTheme="majorBidi" w:eastAsia="Times New Roman" w:hAnsiTheme="majorBidi" w:cstheme="majorBidi"/>
          <w:color w:val="000000"/>
          <w:sz w:val="24"/>
          <w:szCs w:val="24"/>
          <w:lang w:val="en-US" w:eastAsia="fr-FR" w:bidi="he-IL"/>
        </w:rPr>
        <w:t>Section 4</w:t>
      </w:r>
      <w:r w:rsidRPr="00D806D9">
        <w:rPr>
          <w:rFonts w:asciiTheme="majorBidi" w:eastAsia="Times New Roman" w:hAnsiTheme="majorBidi" w:cstheme="majorBidi"/>
          <w:sz w:val="24"/>
          <w:szCs w:val="24"/>
          <w:lang w:val="en-US" w:eastAsia="fr-FR" w:bidi="he-IL"/>
        </w:rPr>
        <w:t xml:space="preserve"> will present the CCfD mechanism in detail</w:t>
      </w:r>
      <w:r w:rsidR="00E85751"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 xml:space="preserve">offer an analysis of its </w:t>
      </w:r>
      <w:r w:rsidR="00E85751" w:rsidRPr="00D806D9">
        <w:rPr>
          <w:rFonts w:asciiTheme="majorBidi" w:eastAsia="Times New Roman" w:hAnsiTheme="majorBidi" w:cstheme="majorBidi"/>
          <w:sz w:val="24"/>
          <w:szCs w:val="24"/>
          <w:lang w:val="en-US" w:eastAsia="fr-FR" w:bidi="he-IL"/>
        </w:rPr>
        <w:t xml:space="preserve">potential operations </w:t>
      </w:r>
      <w:r w:rsidRPr="00D806D9">
        <w:rPr>
          <w:rFonts w:asciiTheme="majorBidi" w:eastAsia="Times New Roman" w:hAnsiTheme="majorBidi" w:cstheme="majorBidi"/>
          <w:sz w:val="24"/>
          <w:szCs w:val="24"/>
          <w:lang w:val="en-US" w:eastAsia="fr-FR" w:bidi="he-IL"/>
        </w:rPr>
        <w:t>within the EU</w:t>
      </w:r>
      <w:r w:rsidR="00E85751"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ETS</w:t>
      </w:r>
      <w:r w:rsidR="005E06F5">
        <w:rPr>
          <w:rFonts w:asciiTheme="majorBidi" w:eastAsia="Times New Roman" w:hAnsiTheme="majorBidi" w:cstheme="majorBidi"/>
          <w:sz w:val="24"/>
          <w:szCs w:val="24"/>
          <w:lang w:val="en-US" w:eastAsia="fr-FR" w:bidi="he-IL"/>
        </w:rPr>
        <w:t>,</w:t>
      </w:r>
      <w:r w:rsidR="00E85751" w:rsidRPr="00D806D9">
        <w:rPr>
          <w:rFonts w:asciiTheme="majorBidi" w:eastAsia="Times New Roman" w:hAnsiTheme="majorBidi" w:cstheme="majorBidi"/>
          <w:sz w:val="24"/>
          <w:szCs w:val="24"/>
          <w:lang w:val="en-US" w:eastAsia="fr-FR" w:bidi="he-IL"/>
        </w:rPr>
        <w:t xml:space="preserve"> and how this could affect LCH developments and </w:t>
      </w:r>
      <w:r w:rsidR="003E49AA" w:rsidRPr="00D806D9">
        <w:rPr>
          <w:rFonts w:asciiTheme="majorBidi" w:eastAsia="Times New Roman" w:hAnsiTheme="majorBidi" w:cstheme="majorBidi"/>
          <w:sz w:val="24"/>
          <w:szCs w:val="24"/>
          <w:lang w:val="en-US" w:eastAsia="fr-FR" w:bidi="he-IL"/>
        </w:rPr>
        <w:t xml:space="preserve">EU </w:t>
      </w:r>
      <w:r w:rsidR="00E85751" w:rsidRPr="00D806D9">
        <w:rPr>
          <w:rFonts w:asciiTheme="majorBidi" w:eastAsia="Times New Roman" w:hAnsiTheme="majorBidi" w:cstheme="majorBidi"/>
          <w:sz w:val="24"/>
          <w:szCs w:val="24"/>
          <w:lang w:val="en-US" w:eastAsia="fr-FR" w:bidi="he-IL"/>
        </w:rPr>
        <w:t>climat</w:t>
      </w:r>
      <w:r w:rsidR="003E49AA" w:rsidRPr="00D806D9">
        <w:rPr>
          <w:rFonts w:asciiTheme="majorBidi" w:eastAsia="Times New Roman" w:hAnsiTheme="majorBidi" w:cstheme="majorBidi"/>
          <w:sz w:val="24"/>
          <w:szCs w:val="24"/>
          <w:lang w:val="en-US" w:eastAsia="fr-FR" w:bidi="he-IL"/>
        </w:rPr>
        <w:t>e policy</w:t>
      </w:r>
      <w:r w:rsidRPr="00D806D9">
        <w:rPr>
          <w:rFonts w:asciiTheme="majorBidi" w:eastAsia="Times New Roman" w:hAnsiTheme="majorBidi" w:cstheme="majorBidi"/>
          <w:sz w:val="24"/>
          <w:szCs w:val="24"/>
          <w:lang w:val="en-US" w:eastAsia="fr-FR" w:bidi="he-IL"/>
        </w:rPr>
        <w:t xml:space="preserve">. </w:t>
      </w:r>
      <w:r w:rsidR="00BC5907" w:rsidRPr="00D806D9">
        <w:rPr>
          <w:rFonts w:asciiTheme="majorBidi" w:eastAsia="Times New Roman" w:hAnsiTheme="majorBidi" w:cstheme="majorBidi"/>
          <w:color w:val="000000"/>
          <w:sz w:val="24"/>
          <w:szCs w:val="24"/>
          <w:lang w:val="en-US" w:eastAsia="fr-FR" w:bidi="he-IL"/>
        </w:rPr>
        <w:t>Section 5</w:t>
      </w:r>
      <w:r w:rsidRPr="00D806D9">
        <w:rPr>
          <w:rFonts w:asciiTheme="majorBidi" w:eastAsia="Times New Roman" w:hAnsiTheme="majorBidi" w:cstheme="majorBidi"/>
          <w:sz w:val="24"/>
          <w:szCs w:val="24"/>
          <w:lang w:val="en-US" w:eastAsia="fr-FR" w:bidi="he-IL"/>
        </w:rPr>
        <w:t xml:space="preserve"> will discuss the results before concluding.</w:t>
      </w:r>
    </w:p>
    <w:p w14:paraId="1447F689" w14:textId="66CEBE63" w:rsidR="007A484E" w:rsidRPr="00D806D9" w:rsidRDefault="007A484E" w:rsidP="00D806D9">
      <w:pPr>
        <w:spacing w:after="0" w:line="480" w:lineRule="auto"/>
        <w:rPr>
          <w:rFonts w:asciiTheme="majorBidi" w:eastAsia="Times New Roman" w:hAnsiTheme="majorBidi" w:cstheme="majorBidi"/>
          <w:color w:val="000000"/>
          <w:sz w:val="24"/>
          <w:szCs w:val="24"/>
          <w:lang w:val="en-US" w:eastAsia="fr-FR" w:bidi="he-IL"/>
        </w:rPr>
      </w:pPr>
    </w:p>
    <w:p w14:paraId="246ABBF3" w14:textId="2DB926E8" w:rsidR="005D6232" w:rsidRPr="00D806D9" w:rsidRDefault="005D6232" w:rsidP="00D806D9">
      <w:pPr>
        <w:spacing w:after="0" w:line="480" w:lineRule="auto"/>
        <w:rPr>
          <w:rFonts w:asciiTheme="majorBidi" w:eastAsia="Times New Roman" w:hAnsiTheme="majorBidi" w:cstheme="majorBidi"/>
          <w:color w:val="000000"/>
          <w:sz w:val="24"/>
          <w:szCs w:val="24"/>
          <w:lang w:val="en-US" w:eastAsia="fr-FR" w:bidi="he-IL"/>
        </w:rPr>
      </w:pPr>
    </w:p>
    <w:p w14:paraId="33164CA7" w14:textId="7987693F" w:rsidR="005D6232" w:rsidRPr="00D806D9" w:rsidRDefault="005D6232" w:rsidP="00D806D9">
      <w:pPr>
        <w:spacing w:after="0" w:line="480" w:lineRule="auto"/>
        <w:rPr>
          <w:rFonts w:asciiTheme="majorBidi" w:eastAsia="Times New Roman" w:hAnsiTheme="majorBidi" w:cstheme="majorBidi"/>
          <w:color w:val="000000"/>
          <w:sz w:val="24"/>
          <w:szCs w:val="24"/>
          <w:lang w:val="en-US" w:eastAsia="fr-FR" w:bidi="he-IL"/>
        </w:rPr>
      </w:pPr>
    </w:p>
    <w:p w14:paraId="5ADD9A22" w14:textId="026EFB1F" w:rsidR="005D6232" w:rsidRPr="00D806D9" w:rsidRDefault="005D6232" w:rsidP="00D806D9">
      <w:pPr>
        <w:spacing w:after="0" w:line="480" w:lineRule="auto"/>
        <w:rPr>
          <w:rFonts w:asciiTheme="majorBidi" w:eastAsia="Times New Roman" w:hAnsiTheme="majorBidi" w:cstheme="majorBidi"/>
          <w:color w:val="000000"/>
          <w:sz w:val="24"/>
          <w:szCs w:val="24"/>
          <w:lang w:val="en-US" w:eastAsia="fr-FR" w:bidi="he-IL"/>
        </w:rPr>
      </w:pPr>
    </w:p>
    <w:p w14:paraId="76A495E5" w14:textId="231776E5" w:rsidR="005D6232" w:rsidRPr="00D806D9" w:rsidRDefault="005D6232" w:rsidP="00D806D9">
      <w:pPr>
        <w:spacing w:after="0" w:line="480" w:lineRule="auto"/>
        <w:rPr>
          <w:rFonts w:asciiTheme="majorBidi" w:eastAsia="Times New Roman" w:hAnsiTheme="majorBidi" w:cstheme="majorBidi"/>
          <w:color w:val="000000"/>
          <w:sz w:val="24"/>
          <w:szCs w:val="24"/>
          <w:lang w:val="en-US" w:eastAsia="fr-FR" w:bidi="he-IL"/>
        </w:rPr>
      </w:pPr>
    </w:p>
    <w:p w14:paraId="5638ED9B" w14:textId="610038E9" w:rsidR="005D6232" w:rsidRPr="00D806D9" w:rsidRDefault="005D6232" w:rsidP="00D806D9">
      <w:pPr>
        <w:spacing w:after="0" w:line="480" w:lineRule="auto"/>
        <w:rPr>
          <w:rFonts w:asciiTheme="majorBidi" w:eastAsia="Times New Roman" w:hAnsiTheme="majorBidi" w:cstheme="majorBidi"/>
          <w:color w:val="000000"/>
          <w:sz w:val="24"/>
          <w:szCs w:val="24"/>
          <w:lang w:val="en-US" w:eastAsia="fr-FR" w:bidi="he-IL"/>
        </w:rPr>
      </w:pPr>
    </w:p>
    <w:p w14:paraId="6094282C" w14:textId="2ED5FE8C" w:rsidR="005D6232" w:rsidRPr="00D806D9" w:rsidRDefault="005D6232" w:rsidP="00D806D9">
      <w:pPr>
        <w:spacing w:after="0" w:line="480" w:lineRule="auto"/>
        <w:rPr>
          <w:rFonts w:asciiTheme="majorBidi" w:eastAsia="Times New Roman" w:hAnsiTheme="majorBidi" w:cstheme="majorBidi"/>
          <w:color w:val="000000"/>
          <w:sz w:val="24"/>
          <w:szCs w:val="24"/>
          <w:lang w:val="en-US" w:eastAsia="fr-FR" w:bidi="he-IL"/>
        </w:rPr>
      </w:pPr>
    </w:p>
    <w:p w14:paraId="6292FD2D" w14:textId="3C0789A7" w:rsidR="005D6232" w:rsidRPr="00D806D9" w:rsidRDefault="005D6232" w:rsidP="00D806D9">
      <w:pPr>
        <w:spacing w:after="0" w:line="480" w:lineRule="auto"/>
        <w:rPr>
          <w:rFonts w:asciiTheme="majorBidi" w:eastAsia="Times New Roman" w:hAnsiTheme="majorBidi" w:cstheme="majorBidi"/>
          <w:color w:val="000000"/>
          <w:sz w:val="24"/>
          <w:szCs w:val="24"/>
          <w:lang w:val="en-US" w:eastAsia="fr-FR" w:bidi="he-IL"/>
        </w:rPr>
      </w:pPr>
    </w:p>
    <w:p w14:paraId="560B2BAE" w14:textId="6F3CB406" w:rsidR="00842A61" w:rsidRPr="00D806D9" w:rsidRDefault="003F07D0" w:rsidP="00D806D9">
      <w:pPr>
        <w:spacing w:after="0" w:line="480" w:lineRule="auto"/>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lastRenderedPageBreak/>
        <w:t xml:space="preserve">Section </w:t>
      </w:r>
      <w:r w:rsidR="002443F7" w:rsidRPr="00D806D9">
        <w:rPr>
          <w:rFonts w:asciiTheme="majorBidi" w:eastAsia="Times New Roman" w:hAnsiTheme="majorBidi" w:cstheme="majorBidi"/>
          <w:b/>
          <w:bCs/>
          <w:color w:val="000000"/>
          <w:sz w:val="24"/>
          <w:szCs w:val="24"/>
          <w:lang w:val="en-US" w:eastAsia="fr-FR" w:bidi="he-IL"/>
        </w:rPr>
        <w:t>1</w:t>
      </w:r>
      <w:r w:rsidR="002443F7" w:rsidRPr="00D806D9">
        <w:rPr>
          <w:rFonts w:asciiTheme="majorBidi" w:eastAsia="Times New Roman" w:hAnsiTheme="majorBidi" w:cstheme="majorBidi"/>
          <w:b/>
          <w:bCs/>
          <w:color w:val="000000"/>
          <w:sz w:val="24"/>
          <w:szCs w:val="24"/>
          <w:lang w:val="en-US" w:eastAsia="fr-FR" w:bidi="he-IL"/>
        </w:rPr>
        <w:tab/>
      </w:r>
      <w:r w:rsidRPr="00D806D9">
        <w:rPr>
          <w:rFonts w:asciiTheme="majorBidi" w:eastAsia="Times New Roman" w:hAnsiTheme="majorBidi" w:cstheme="majorBidi"/>
          <w:b/>
          <w:bCs/>
          <w:color w:val="000000"/>
          <w:sz w:val="24"/>
          <w:szCs w:val="24"/>
          <w:lang w:val="en-US" w:eastAsia="fr-FR" w:bidi="he-IL"/>
        </w:rPr>
        <w:t xml:space="preserve">Theoretical </w:t>
      </w:r>
      <w:r w:rsidR="00422AB2" w:rsidRPr="00D806D9">
        <w:rPr>
          <w:rFonts w:asciiTheme="majorBidi" w:eastAsia="Times New Roman" w:hAnsiTheme="majorBidi" w:cstheme="majorBidi"/>
          <w:b/>
          <w:bCs/>
          <w:color w:val="000000"/>
          <w:sz w:val="24"/>
          <w:szCs w:val="24"/>
          <w:lang w:val="en-US" w:eastAsia="fr-FR" w:bidi="he-IL"/>
        </w:rPr>
        <w:t>f</w:t>
      </w:r>
      <w:r w:rsidRPr="00D806D9">
        <w:rPr>
          <w:rFonts w:asciiTheme="majorBidi" w:eastAsia="Times New Roman" w:hAnsiTheme="majorBidi" w:cstheme="majorBidi"/>
          <w:b/>
          <w:bCs/>
          <w:color w:val="000000"/>
          <w:sz w:val="24"/>
          <w:szCs w:val="24"/>
          <w:lang w:val="en-US" w:eastAsia="fr-FR" w:bidi="he-IL"/>
        </w:rPr>
        <w:t>ramework</w:t>
      </w:r>
    </w:p>
    <w:p w14:paraId="4214060D" w14:textId="77777777" w:rsidR="00842A61" w:rsidRPr="00D806D9" w:rsidRDefault="00842A61" w:rsidP="00D806D9">
      <w:pPr>
        <w:spacing w:after="0" w:line="480" w:lineRule="auto"/>
        <w:jc w:val="both"/>
        <w:rPr>
          <w:rFonts w:asciiTheme="majorBidi" w:eastAsia="Times New Roman" w:hAnsiTheme="majorBidi" w:cstheme="majorBidi"/>
          <w:b/>
          <w:bCs/>
          <w:color w:val="000000"/>
          <w:sz w:val="24"/>
          <w:szCs w:val="24"/>
          <w:lang w:val="en-US" w:eastAsia="fr-FR" w:bidi="he-IL"/>
        </w:rPr>
      </w:pPr>
    </w:p>
    <w:p w14:paraId="2A1FB543" w14:textId="60652B9E" w:rsidR="00994D58" w:rsidRPr="00D806D9" w:rsidRDefault="004C4612" w:rsidP="00D806D9">
      <w:pPr>
        <w:spacing w:after="0" w:line="480" w:lineRule="auto"/>
        <w:jc w:val="both"/>
        <w:rPr>
          <w:rFonts w:asciiTheme="majorBidi" w:hAnsiTheme="majorBidi" w:cstheme="majorBidi"/>
          <w:color w:val="202122"/>
          <w:sz w:val="24"/>
          <w:szCs w:val="24"/>
          <w:shd w:val="clear" w:color="auto" w:fill="FFFFFF"/>
          <w:lang w:val="en-US"/>
        </w:rPr>
      </w:pPr>
      <w:r w:rsidRPr="00D806D9">
        <w:rPr>
          <w:rFonts w:asciiTheme="majorBidi" w:hAnsiTheme="majorBidi" w:cstheme="majorBidi"/>
          <w:color w:val="202122"/>
          <w:sz w:val="24"/>
          <w:szCs w:val="24"/>
          <w:shd w:val="clear" w:color="auto" w:fill="FFFFFF"/>
          <w:lang w:val="en-US"/>
        </w:rPr>
        <w:tab/>
        <w:t>This work is based on microeconomics grounds</w:t>
      </w:r>
      <w:r w:rsidR="005D7BB0" w:rsidRPr="00D806D9">
        <w:rPr>
          <w:rFonts w:asciiTheme="majorBidi" w:hAnsiTheme="majorBidi" w:cstheme="majorBidi"/>
          <w:color w:val="202122"/>
          <w:sz w:val="24"/>
          <w:szCs w:val="24"/>
          <w:shd w:val="clear" w:color="auto" w:fill="FFFFFF"/>
          <w:lang w:val="en-US"/>
        </w:rPr>
        <w:t xml:space="preserve"> and </w:t>
      </w:r>
      <w:r w:rsidRPr="00D806D9">
        <w:rPr>
          <w:rFonts w:asciiTheme="majorBidi" w:hAnsiTheme="majorBidi" w:cstheme="majorBidi"/>
          <w:color w:val="202122"/>
          <w:sz w:val="24"/>
          <w:szCs w:val="24"/>
          <w:shd w:val="clear" w:color="auto" w:fill="FFFFFF"/>
          <w:lang w:val="en-US"/>
        </w:rPr>
        <w:t>public law institutional analysis</w:t>
      </w:r>
      <w:r w:rsidR="008B7028">
        <w:rPr>
          <w:rFonts w:asciiTheme="majorBidi" w:hAnsiTheme="majorBidi" w:cstheme="majorBidi"/>
          <w:color w:val="202122"/>
          <w:sz w:val="24"/>
          <w:szCs w:val="24"/>
          <w:shd w:val="clear" w:color="auto" w:fill="FFFFFF"/>
          <w:lang w:val="en-US"/>
        </w:rPr>
        <w:t>,</w:t>
      </w:r>
      <w:r w:rsidRPr="00D806D9">
        <w:rPr>
          <w:rFonts w:asciiTheme="majorBidi" w:hAnsiTheme="majorBidi" w:cstheme="majorBidi"/>
          <w:color w:val="202122"/>
          <w:sz w:val="24"/>
          <w:szCs w:val="24"/>
          <w:shd w:val="clear" w:color="auto" w:fill="FFFFFF"/>
          <w:lang w:val="en-US"/>
        </w:rPr>
        <w:t xml:space="preserve"> which will </w:t>
      </w:r>
      <w:r w:rsidR="005D7BB0" w:rsidRPr="00D806D9">
        <w:rPr>
          <w:rFonts w:asciiTheme="majorBidi" w:hAnsiTheme="majorBidi" w:cstheme="majorBidi"/>
          <w:color w:val="202122"/>
          <w:sz w:val="24"/>
          <w:szCs w:val="24"/>
          <w:shd w:val="clear" w:color="auto" w:fill="FFFFFF"/>
          <w:lang w:val="en-US"/>
        </w:rPr>
        <w:t xml:space="preserve">be </w:t>
      </w:r>
      <w:r w:rsidRPr="00D806D9">
        <w:rPr>
          <w:rFonts w:asciiTheme="majorBidi" w:hAnsiTheme="majorBidi" w:cstheme="majorBidi"/>
          <w:color w:val="202122"/>
          <w:sz w:val="24"/>
          <w:szCs w:val="24"/>
          <w:shd w:val="clear" w:color="auto" w:fill="FFFFFF"/>
          <w:lang w:val="en-US"/>
        </w:rPr>
        <w:t>present</w:t>
      </w:r>
      <w:r w:rsidR="005D7BB0" w:rsidRPr="00D806D9">
        <w:rPr>
          <w:rFonts w:asciiTheme="majorBidi" w:hAnsiTheme="majorBidi" w:cstheme="majorBidi"/>
          <w:color w:val="202122"/>
          <w:sz w:val="24"/>
          <w:szCs w:val="24"/>
          <w:shd w:val="clear" w:color="auto" w:fill="FFFFFF"/>
          <w:lang w:val="en-US"/>
        </w:rPr>
        <w:t>ed</w:t>
      </w:r>
      <w:r w:rsidRPr="00D806D9">
        <w:rPr>
          <w:rFonts w:asciiTheme="majorBidi" w:hAnsiTheme="majorBidi" w:cstheme="majorBidi"/>
          <w:color w:val="202122"/>
          <w:sz w:val="24"/>
          <w:szCs w:val="24"/>
          <w:shd w:val="clear" w:color="auto" w:fill="FFFFFF"/>
          <w:lang w:val="en-US"/>
        </w:rPr>
        <w:t xml:space="preserve"> successively.</w:t>
      </w:r>
    </w:p>
    <w:p w14:paraId="5F2EC3BB" w14:textId="77777777" w:rsidR="00842A61" w:rsidRPr="00D806D9" w:rsidRDefault="00842A61" w:rsidP="00D806D9">
      <w:pPr>
        <w:spacing w:after="0" w:line="480" w:lineRule="auto"/>
        <w:jc w:val="both"/>
        <w:rPr>
          <w:rFonts w:asciiTheme="majorBidi" w:hAnsiTheme="majorBidi" w:cstheme="majorBidi"/>
          <w:color w:val="202122"/>
          <w:sz w:val="24"/>
          <w:szCs w:val="24"/>
          <w:shd w:val="clear" w:color="auto" w:fill="FFFFFF"/>
          <w:lang w:val="en-US"/>
        </w:rPr>
      </w:pPr>
    </w:p>
    <w:p w14:paraId="1560A3F4" w14:textId="1515FB03" w:rsidR="003F07D0" w:rsidRPr="00D806D9" w:rsidRDefault="003F07D0" w:rsidP="00D806D9">
      <w:pPr>
        <w:autoSpaceDE w:val="0"/>
        <w:autoSpaceDN w:val="0"/>
        <w:adjustRightInd w:val="0"/>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t>1.1</w:t>
      </w:r>
      <w:r w:rsidR="00EF04AE" w:rsidRPr="00D806D9">
        <w:rPr>
          <w:rFonts w:asciiTheme="majorBidi" w:eastAsia="Times New Roman" w:hAnsiTheme="majorBidi" w:cstheme="majorBidi"/>
          <w:b/>
          <w:bCs/>
          <w:color w:val="000000"/>
          <w:sz w:val="24"/>
          <w:szCs w:val="24"/>
          <w:lang w:val="en-US" w:eastAsia="fr-FR" w:bidi="he-IL"/>
        </w:rPr>
        <w:t>.</w:t>
      </w:r>
      <w:r w:rsidR="00C30A3B" w:rsidRPr="00D806D9">
        <w:rPr>
          <w:rFonts w:asciiTheme="majorBidi" w:eastAsia="Times New Roman" w:hAnsiTheme="majorBidi" w:cstheme="majorBidi"/>
          <w:b/>
          <w:bCs/>
          <w:color w:val="000000"/>
          <w:sz w:val="24"/>
          <w:szCs w:val="24"/>
          <w:lang w:val="en-US" w:eastAsia="fr-FR" w:bidi="he-IL"/>
        </w:rPr>
        <w:tab/>
      </w:r>
      <w:r w:rsidRPr="00D806D9">
        <w:rPr>
          <w:rFonts w:asciiTheme="majorBidi" w:eastAsia="Times New Roman" w:hAnsiTheme="majorBidi" w:cstheme="majorBidi"/>
          <w:b/>
          <w:bCs/>
          <w:color w:val="000000"/>
          <w:sz w:val="24"/>
          <w:szCs w:val="24"/>
          <w:lang w:val="en-US" w:eastAsia="fr-FR" w:bidi="he-IL"/>
        </w:rPr>
        <w:t xml:space="preserve">The </w:t>
      </w:r>
      <w:r w:rsidR="007C5335" w:rsidRPr="00D806D9">
        <w:rPr>
          <w:rFonts w:asciiTheme="majorBidi" w:eastAsia="Times New Roman" w:hAnsiTheme="majorBidi" w:cstheme="majorBidi"/>
          <w:b/>
          <w:bCs/>
          <w:color w:val="000000"/>
          <w:sz w:val="24"/>
          <w:szCs w:val="24"/>
          <w:lang w:val="en-US" w:eastAsia="fr-FR" w:bidi="he-IL"/>
        </w:rPr>
        <w:t>m</w:t>
      </w:r>
      <w:r w:rsidRPr="00D806D9">
        <w:rPr>
          <w:rFonts w:asciiTheme="majorBidi" w:eastAsia="Times New Roman" w:hAnsiTheme="majorBidi" w:cstheme="majorBidi"/>
          <w:b/>
          <w:bCs/>
          <w:color w:val="000000"/>
          <w:sz w:val="24"/>
          <w:szCs w:val="24"/>
          <w:lang w:val="en-US" w:eastAsia="fr-FR" w:bidi="he-IL"/>
        </w:rPr>
        <w:t xml:space="preserve">icroeconomics </w:t>
      </w:r>
      <w:r w:rsidR="007C5335" w:rsidRPr="00D806D9">
        <w:rPr>
          <w:rFonts w:asciiTheme="majorBidi" w:eastAsia="Times New Roman" w:hAnsiTheme="majorBidi" w:cstheme="majorBidi"/>
          <w:b/>
          <w:bCs/>
          <w:color w:val="000000"/>
          <w:sz w:val="24"/>
          <w:szCs w:val="24"/>
          <w:lang w:val="en-US" w:eastAsia="fr-FR" w:bidi="he-IL"/>
        </w:rPr>
        <w:t>g</w:t>
      </w:r>
      <w:r w:rsidRPr="00D806D9">
        <w:rPr>
          <w:rFonts w:asciiTheme="majorBidi" w:eastAsia="Times New Roman" w:hAnsiTheme="majorBidi" w:cstheme="majorBidi"/>
          <w:b/>
          <w:bCs/>
          <w:color w:val="000000"/>
          <w:sz w:val="24"/>
          <w:szCs w:val="24"/>
          <w:lang w:val="en-US" w:eastAsia="fr-FR" w:bidi="he-IL"/>
        </w:rPr>
        <w:t xml:space="preserve">rounds </w:t>
      </w:r>
      <w:r w:rsidR="00E357B0" w:rsidRPr="00D806D9">
        <w:rPr>
          <w:rFonts w:asciiTheme="majorBidi" w:eastAsia="Times New Roman" w:hAnsiTheme="majorBidi" w:cstheme="majorBidi"/>
          <w:b/>
          <w:bCs/>
          <w:color w:val="000000"/>
          <w:sz w:val="24"/>
          <w:szCs w:val="24"/>
          <w:lang w:val="en-US" w:eastAsia="fr-FR" w:bidi="he-IL"/>
        </w:rPr>
        <w:t>of</w:t>
      </w:r>
      <w:r w:rsidRPr="00D806D9">
        <w:rPr>
          <w:rFonts w:asciiTheme="majorBidi" w:eastAsia="Times New Roman" w:hAnsiTheme="majorBidi" w:cstheme="majorBidi"/>
          <w:b/>
          <w:bCs/>
          <w:color w:val="000000"/>
          <w:sz w:val="24"/>
          <w:szCs w:val="24"/>
          <w:lang w:val="en-US" w:eastAsia="fr-FR" w:bidi="he-IL"/>
        </w:rPr>
        <w:t xml:space="preserve"> ETS</w:t>
      </w:r>
    </w:p>
    <w:p w14:paraId="73568F9D" w14:textId="77777777" w:rsidR="00891ADC" w:rsidRPr="00D806D9" w:rsidRDefault="00891ADC" w:rsidP="00D806D9">
      <w:pPr>
        <w:spacing w:after="0" w:line="480" w:lineRule="auto"/>
        <w:ind w:firstLine="708"/>
        <w:jc w:val="both"/>
        <w:rPr>
          <w:rFonts w:asciiTheme="majorBidi" w:hAnsiTheme="majorBidi" w:cstheme="majorBidi"/>
          <w:color w:val="202122"/>
          <w:sz w:val="24"/>
          <w:szCs w:val="24"/>
          <w:shd w:val="clear" w:color="auto" w:fill="FFFFFF"/>
          <w:lang w:val="en-US"/>
        </w:rPr>
      </w:pPr>
    </w:p>
    <w:p w14:paraId="377E7798" w14:textId="7FF66443" w:rsidR="003F07D0" w:rsidRPr="00D806D9" w:rsidRDefault="003F07D0" w:rsidP="00D806D9">
      <w:pPr>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hAnsiTheme="majorBidi" w:cstheme="majorBidi"/>
          <w:color w:val="202122"/>
          <w:sz w:val="24"/>
          <w:szCs w:val="24"/>
          <w:shd w:val="clear" w:color="auto" w:fill="FFFFFF"/>
          <w:lang w:val="en-US"/>
        </w:rPr>
        <w:t xml:space="preserve">In </w:t>
      </w:r>
      <w:r w:rsidRPr="00D806D9">
        <w:rPr>
          <w:rFonts w:asciiTheme="majorBidi" w:hAnsiTheme="majorBidi" w:cstheme="majorBidi"/>
          <w:sz w:val="24"/>
          <w:szCs w:val="24"/>
          <w:shd w:val="clear" w:color="auto" w:fill="FFFFFF"/>
          <w:lang w:val="en-US"/>
        </w:rPr>
        <w:t xml:space="preserve">microeconomics, </w:t>
      </w:r>
      <w:r w:rsidRPr="00D806D9">
        <w:rPr>
          <w:rFonts w:asciiTheme="majorBidi" w:hAnsiTheme="majorBidi" w:cstheme="majorBidi"/>
          <w:color w:val="202122"/>
          <w:sz w:val="24"/>
          <w:szCs w:val="24"/>
          <w:shd w:val="clear" w:color="auto" w:fill="FFFFFF"/>
          <w:lang w:val="en-US"/>
        </w:rPr>
        <w:t xml:space="preserve">equilibrium refers to the </w:t>
      </w:r>
      <w:r w:rsidRPr="00D806D9">
        <w:rPr>
          <w:rFonts w:asciiTheme="majorBidi" w:hAnsiTheme="majorBidi" w:cstheme="majorBidi"/>
          <w:sz w:val="24"/>
          <w:szCs w:val="24"/>
          <w:shd w:val="clear" w:color="auto" w:fill="FFFFFF"/>
          <w:lang w:val="en-US"/>
        </w:rPr>
        <w:t>archetypal balance between buyers' benefits and producers' costs</w:t>
      </w:r>
      <w:r w:rsidR="008B7028">
        <w:rPr>
          <w:rFonts w:asciiTheme="majorBidi" w:hAnsiTheme="majorBidi" w:cstheme="majorBidi"/>
          <w:sz w:val="24"/>
          <w:szCs w:val="24"/>
          <w:shd w:val="clear" w:color="auto" w:fill="FFFFFF"/>
          <w:lang w:val="en-US"/>
        </w:rPr>
        <w:t>,</w:t>
      </w:r>
      <w:r w:rsidR="008E4D8D" w:rsidRPr="00D806D9">
        <w:rPr>
          <w:rFonts w:asciiTheme="majorBidi" w:hAnsiTheme="majorBidi" w:cstheme="majorBidi"/>
          <w:sz w:val="24"/>
          <w:szCs w:val="24"/>
          <w:shd w:val="clear" w:color="auto" w:fill="FFFFFF"/>
          <w:lang w:val="en-US"/>
        </w:rPr>
        <w:t xml:space="preserve"> allowing </w:t>
      </w:r>
      <w:r w:rsidRPr="00D806D9">
        <w:rPr>
          <w:rFonts w:asciiTheme="majorBidi" w:hAnsiTheme="majorBidi" w:cstheme="majorBidi"/>
          <w:sz w:val="24"/>
          <w:szCs w:val="24"/>
          <w:shd w:val="clear" w:color="auto" w:fill="FFFFFF"/>
          <w:lang w:val="en-US"/>
        </w:rPr>
        <w:t xml:space="preserve">price formation in a </w:t>
      </w:r>
      <w:r w:rsidRPr="00D806D9">
        <w:rPr>
          <w:rFonts w:asciiTheme="majorBidi" w:hAnsiTheme="majorBidi" w:cstheme="majorBidi"/>
          <w:color w:val="202122"/>
          <w:sz w:val="24"/>
          <w:szCs w:val="24"/>
          <w:shd w:val="clear" w:color="auto" w:fill="FFFFFF"/>
          <w:lang w:val="en-US"/>
        </w:rPr>
        <w:t xml:space="preserve">competitive market. Externalities correspond to collateral costs or benefits produced by one party’s activity to an unrelated third party </w:t>
      </w:r>
      <w:r w:rsidR="005E06F5">
        <w:rPr>
          <w:rFonts w:asciiTheme="majorBidi" w:hAnsiTheme="majorBidi" w:cstheme="majorBidi"/>
          <w:color w:val="202122"/>
          <w:sz w:val="24"/>
          <w:szCs w:val="24"/>
          <w:shd w:val="clear" w:color="auto" w:fill="FFFFFF"/>
          <w:lang w:val="en-US"/>
        </w:rPr>
        <w:t>about</w:t>
      </w:r>
      <w:r w:rsidRPr="00D806D9">
        <w:rPr>
          <w:rFonts w:asciiTheme="majorBidi" w:hAnsiTheme="majorBidi" w:cstheme="majorBidi"/>
          <w:color w:val="202122"/>
          <w:sz w:val="24"/>
          <w:szCs w:val="24"/>
          <w:shd w:val="clear" w:color="auto" w:fill="FFFFFF"/>
          <w:lang w:val="en-US"/>
        </w:rPr>
        <w:t xml:space="preserve"> the consumption or production of a good or service. They imply that real costs or benefits are not fully reflected in the market price. This distortion leads to market failure </w:t>
      </w:r>
      <w:r w:rsidR="003F0F65" w:rsidRPr="00D806D9">
        <w:rPr>
          <w:rFonts w:asciiTheme="majorBidi" w:hAnsiTheme="majorBidi" w:cstheme="majorBidi"/>
          <w:color w:val="202122"/>
          <w:sz w:val="24"/>
          <w:szCs w:val="24"/>
          <w:shd w:val="clear" w:color="auto" w:fill="FFFFFF"/>
          <w:lang w:val="en-US"/>
        </w:rPr>
        <w:t>as not</w:t>
      </w:r>
      <w:r w:rsidRPr="00D806D9">
        <w:rPr>
          <w:rFonts w:asciiTheme="majorBidi" w:hAnsiTheme="majorBidi" w:cstheme="majorBidi"/>
          <w:color w:val="202122"/>
          <w:sz w:val="24"/>
          <w:szCs w:val="24"/>
          <w:shd w:val="clear" w:color="auto" w:fill="FFFFFF"/>
          <w:lang w:val="en-US"/>
        </w:rPr>
        <w:t xml:space="preserve"> all the relevant information</w:t>
      </w:r>
      <w:r w:rsidR="003F0F65" w:rsidRPr="00D806D9">
        <w:rPr>
          <w:rFonts w:asciiTheme="majorBidi" w:hAnsiTheme="majorBidi" w:cstheme="majorBidi"/>
          <w:color w:val="202122"/>
          <w:sz w:val="24"/>
          <w:szCs w:val="24"/>
          <w:shd w:val="clear" w:color="auto" w:fill="FFFFFF"/>
          <w:lang w:val="en-US"/>
        </w:rPr>
        <w:t xml:space="preserve"> is transmitted within the market price</w:t>
      </w:r>
      <w:r w:rsidRPr="00D806D9">
        <w:rPr>
          <w:rFonts w:asciiTheme="majorBidi" w:hAnsiTheme="majorBidi" w:cstheme="majorBidi"/>
          <w:color w:val="202122"/>
          <w:sz w:val="24"/>
          <w:szCs w:val="24"/>
          <w:shd w:val="clear" w:color="auto" w:fill="FFFFFF"/>
          <w:lang w:val="en-US"/>
        </w:rPr>
        <w:t xml:space="preserve">. Thus, </w:t>
      </w:r>
      <w:r w:rsidR="003F0F65" w:rsidRPr="00D806D9">
        <w:rPr>
          <w:rFonts w:asciiTheme="majorBidi" w:hAnsiTheme="majorBidi" w:cstheme="majorBidi"/>
          <w:color w:val="202122"/>
          <w:sz w:val="24"/>
          <w:szCs w:val="24"/>
          <w:shd w:val="clear" w:color="auto" w:fill="FFFFFF"/>
          <w:lang w:val="en-US"/>
        </w:rPr>
        <w:t xml:space="preserve">provoking a situation </w:t>
      </w:r>
      <w:r w:rsidR="00BE76CA">
        <w:rPr>
          <w:rFonts w:asciiTheme="majorBidi" w:hAnsiTheme="majorBidi" w:cstheme="majorBidi"/>
          <w:color w:val="202122"/>
          <w:sz w:val="24"/>
          <w:szCs w:val="24"/>
          <w:shd w:val="clear" w:color="auto" w:fill="FFFFFF"/>
          <w:lang w:val="en-US"/>
        </w:rPr>
        <w:t>that</w:t>
      </w:r>
      <w:r w:rsidR="003F0F65" w:rsidRPr="00D806D9">
        <w:rPr>
          <w:rFonts w:asciiTheme="majorBidi" w:hAnsiTheme="majorBidi" w:cstheme="majorBidi"/>
          <w:color w:val="202122"/>
          <w:sz w:val="24"/>
          <w:szCs w:val="24"/>
          <w:shd w:val="clear" w:color="auto" w:fill="FFFFFF"/>
          <w:lang w:val="en-US"/>
        </w:rPr>
        <w:t xml:space="preserve"> is not Pareto optimal</w:t>
      </w:r>
      <w:r w:rsidRPr="00D806D9">
        <w:rPr>
          <w:rFonts w:asciiTheme="majorBidi" w:hAnsiTheme="majorBidi" w:cstheme="majorBidi"/>
          <w:color w:val="202122"/>
          <w:sz w:val="24"/>
          <w:szCs w:val="24"/>
          <w:shd w:val="clear" w:color="auto" w:fill="FFFFFF"/>
          <w:lang w:val="en-US"/>
        </w:rPr>
        <w:t xml:space="preserve">, consumers are all made worse off because </w:t>
      </w:r>
      <w:r w:rsidR="008B7028">
        <w:rPr>
          <w:rFonts w:asciiTheme="majorBidi" w:hAnsiTheme="majorBidi" w:cstheme="majorBidi"/>
          <w:color w:val="202122"/>
          <w:sz w:val="24"/>
          <w:szCs w:val="24"/>
          <w:shd w:val="clear" w:color="auto" w:fill="FFFFFF"/>
          <w:lang w:val="en-US"/>
        </w:rPr>
        <w:t>un</w:t>
      </w:r>
      <w:r w:rsidRPr="00D806D9">
        <w:rPr>
          <w:rFonts w:asciiTheme="majorBidi" w:hAnsiTheme="majorBidi" w:cstheme="majorBidi"/>
          <w:color w:val="202122"/>
          <w:sz w:val="24"/>
          <w:szCs w:val="24"/>
          <w:shd w:val="clear" w:color="auto" w:fill="FFFFFF"/>
          <w:lang w:val="en-US"/>
        </w:rPr>
        <w:t>compensated by the market for the damage they suffer.</w:t>
      </w:r>
      <w:r w:rsidRPr="00D806D9">
        <w:rPr>
          <w:rFonts w:asciiTheme="majorBidi" w:hAnsiTheme="majorBidi" w:cstheme="majorBidi"/>
          <w:color w:val="FF0000"/>
          <w:sz w:val="24"/>
          <w:szCs w:val="24"/>
          <w:shd w:val="clear" w:color="auto" w:fill="FFFFFF"/>
          <w:lang w:val="en-US"/>
        </w:rPr>
        <w:t xml:space="preserve"> </w:t>
      </w:r>
      <w:r w:rsidRPr="00D806D9">
        <w:rPr>
          <w:rFonts w:asciiTheme="majorBidi" w:hAnsiTheme="majorBidi" w:cstheme="majorBidi"/>
          <w:color w:val="202122"/>
          <w:sz w:val="24"/>
          <w:szCs w:val="24"/>
          <w:shd w:val="clear" w:color="auto" w:fill="FFFFFF"/>
          <w:lang w:val="en-US"/>
        </w:rPr>
        <w:t xml:space="preserve">To internalize </w:t>
      </w:r>
      <w:r w:rsidR="00891ADC" w:rsidRPr="00D806D9">
        <w:rPr>
          <w:rFonts w:asciiTheme="majorBidi" w:hAnsiTheme="majorBidi" w:cstheme="majorBidi"/>
          <w:color w:val="202122"/>
          <w:sz w:val="24"/>
          <w:szCs w:val="24"/>
          <w:shd w:val="clear" w:color="auto" w:fill="FFFFFF"/>
          <w:lang w:val="en-US"/>
        </w:rPr>
        <w:t xml:space="preserve">environmental </w:t>
      </w:r>
      <w:r w:rsidRPr="00D806D9">
        <w:rPr>
          <w:rFonts w:asciiTheme="majorBidi" w:hAnsiTheme="majorBidi" w:cstheme="majorBidi"/>
          <w:color w:val="202122"/>
          <w:sz w:val="24"/>
          <w:szCs w:val="24"/>
          <w:shd w:val="clear" w:color="auto" w:fill="FFFFFF"/>
          <w:lang w:val="en-US"/>
        </w:rPr>
        <w:t xml:space="preserve">externalities, </w:t>
      </w:r>
      <w:r w:rsidR="001D7188" w:rsidRPr="00D806D9">
        <w:rPr>
          <w:rFonts w:asciiTheme="majorBidi" w:hAnsiTheme="majorBidi" w:cstheme="majorBidi"/>
          <w:color w:val="202122"/>
          <w:sz w:val="24"/>
          <w:szCs w:val="24"/>
          <w:shd w:val="clear" w:color="auto" w:fill="FFFFFF"/>
          <w:lang w:val="en-US"/>
        </w:rPr>
        <w:t>i.e.,</w:t>
      </w:r>
      <w:r w:rsidRPr="00D806D9">
        <w:rPr>
          <w:rFonts w:asciiTheme="majorBidi" w:hAnsiTheme="majorBidi" w:cstheme="majorBidi"/>
          <w:color w:val="202122"/>
          <w:sz w:val="24"/>
          <w:szCs w:val="24"/>
          <w:shd w:val="clear" w:color="auto" w:fill="FFFFFF"/>
          <w:lang w:val="en-US"/>
        </w:rPr>
        <w:t xml:space="preserve"> to correct the market failure, authorities often resort to public regulations</w:t>
      </w:r>
      <w:r w:rsidR="00891ADC" w:rsidRPr="00D806D9">
        <w:rPr>
          <w:rFonts w:asciiTheme="majorBidi" w:hAnsiTheme="majorBidi" w:cstheme="majorBidi"/>
          <w:color w:val="202122"/>
          <w:sz w:val="24"/>
          <w:szCs w:val="24"/>
          <w:shd w:val="clear" w:color="auto" w:fill="FFFFFF"/>
          <w:lang w:val="en-US"/>
        </w:rPr>
        <w:t xml:space="preserve"> (</w:t>
      </w:r>
      <w:r w:rsidR="00891ADC" w:rsidRPr="00D806D9">
        <w:rPr>
          <w:rFonts w:asciiTheme="majorBidi" w:hAnsiTheme="majorBidi" w:cstheme="majorBidi"/>
          <w:sz w:val="24"/>
          <w:szCs w:val="24"/>
          <w:lang w:val="en-US"/>
        </w:rPr>
        <w:t>Faure &amp; Partain, 2019</w:t>
      </w:r>
      <w:r w:rsidR="00891ADC" w:rsidRPr="00D806D9">
        <w:rPr>
          <w:rFonts w:asciiTheme="majorBidi" w:eastAsia="Times New Roman" w:hAnsiTheme="majorBidi" w:cstheme="majorBidi"/>
          <w:b/>
          <w:bCs/>
          <w:color w:val="000000"/>
          <w:sz w:val="24"/>
          <w:szCs w:val="24"/>
          <w:lang w:val="en-US" w:eastAsia="fr-FR" w:bidi="he-IL"/>
        </w:rPr>
        <w:t>)</w:t>
      </w:r>
      <w:r w:rsidRPr="00D806D9">
        <w:rPr>
          <w:rFonts w:asciiTheme="majorBidi" w:hAnsiTheme="majorBidi" w:cstheme="majorBidi"/>
          <w:color w:val="202122"/>
          <w:sz w:val="24"/>
          <w:szCs w:val="24"/>
          <w:shd w:val="clear" w:color="auto" w:fill="FFFFFF"/>
          <w:lang w:val="en-US"/>
        </w:rPr>
        <w:t>.</w:t>
      </w:r>
    </w:p>
    <w:p w14:paraId="09BEE5A7" w14:textId="5AFFA3C3" w:rsidR="003F07D0" w:rsidRPr="00D806D9" w:rsidRDefault="003F07D0" w:rsidP="00D806D9">
      <w:pPr>
        <w:spacing w:after="0" w:line="48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ab/>
      </w:r>
      <w:r w:rsidR="00BE76CA">
        <w:rPr>
          <w:rFonts w:asciiTheme="majorBidi" w:eastAsia="Times New Roman" w:hAnsiTheme="majorBidi" w:cstheme="majorBidi"/>
          <w:color w:val="000000"/>
          <w:sz w:val="24"/>
          <w:szCs w:val="24"/>
          <w:lang w:val="en-US" w:eastAsia="fr-FR" w:bidi="he-IL"/>
        </w:rPr>
        <w:t>From</w:t>
      </w:r>
      <w:r w:rsidRPr="00D806D9">
        <w:rPr>
          <w:rFonts w:asciiTheme="majorBidi" w:eastAsia="Times New Roman" w:hAnsiTheme="majorBidi" w:cstheme="majorBidi"/>
          <w:color w:val="000000"/>
          <w:sz w:val="24"/>
          <w:szCs w:val="24"/>
          <w:lang w:val="en-US" w:eastAsia="fr-FR" w:bidi="he-IL"/>
        </w:rPr>
        <w:t xml:space="preserve"> this </w:t>
      </w:r>
      <w:r w:rsidRPr="00D806D9">
        <w:rPr>
          <w:rFonts w:asciiTheme="majorBidi" w:eastAsia="Times New Roman" w:hAnsiTheme="majorBidi" w:cstheme="majorBidi"/>
          <w:sz w:val="24"/>
          <w:szCs w:val="24"/>
          <w:lang w:val="en-US" w:eastAsia="fr-FR" w:bidi="he-IL"/>
        </w:rPr>
        <w:t>perspective, several legal options are possible.</w:t>
      </w:r>
      <w:r w:rsidR="00B76CE9"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 xml:space="preserve">Pigou (1920) described economic instruments </w:t>
      </w:r>
      <w:r w:rsidRPr="00D806D9">
        <w:rPr>
          <w:rFonts w:asciiTheme="majorBidi" w:eastAsia="Times New Roman" w:hAnsiTheme="majorBidi" w:cstheme="majorBidi"/>
          <w:color w:val="000000"/>
          <w:sz w:val="24"/>
          <w:szCs w:val="24"/>
          <w:lang w:val="en-US" w:eastAsia="fr-FR" w:bidi="he-IL"/>
        </w:rPr>
        <w:t>aiming at orienting behavior positively or negatively</w:t>
      </w:r>
      <w:r w:rsidR="008B7028">
        <w:rPr>
          <w:rFonts w:asciiTheme="majorBidi" w:eastAsia="Times New Roman" w:hAnsiTheme="majorBidi" w:cstheme="majorBidi"/>
          <w:color w:val="000000"/>
          <w:sz w:val="24"/>
          <w:szCs w:val="24"/>
          <w:lang w:val="en-US" w:eastAsia="fr-FR" w:bidi="he-IL"/>
        </w:rPr>
        <w:t>,</w:t>
      </w:r>
      <w:r w:rsidR="00475173" w:rsidRPr="00D806D9">
        <w:rPr>
          <w:rFonts w:asciiTheme="majorBidi" w:eastAsia="Times New Roman" w:hAnsiTheme="majorBidi" w:cstheme="majorBidi"/>
          <w:color w:val="000000"/>
          <w:sz w:val="24"/>
          <w:szCs w:val="24"/>
          <w:lang w:val="en-US" w:eastAsia="fr-FR" w:bidi="he-IL"/>
        </w:rPr>
        <w:t xml:space="preserve"> such as </w:t>
      </w:r>
      <w:r w:rsidR="008E4D8D" w:rsidRPr="00D806D9">
        <w:rPr>
          <w:rFonts w:asciiTheme="majorBidi" w:eastAsia="Times New Roman" w:hAnsiTheme="majorBidi" w:cstheme="majorBidi"/>
          <w:color w:val="000000"/>
          <w:sz w:val="24"/>
          <w:szCs w:val="24"/>
          <w:lang w:val="en-US" w:eastAsia="fr-FR" w:bidi="he-IL"/>
        </w:rPr>
        <w:t>pricing the externality, taxing entities responsible</w:t>
      </w:r>
      <w:r w:rsidR="002B7517" w:rsidRPr="00D806D9">
        <w:rPr>
          <w:rFonts w:asciiTheme="majorBidi" w:eastAsia="Times New Roman" w:hAnsiTheme="majorBidi" w:cstheme="majorBidi"/>
          <w:color w:val="000000"/>
          <w:sz w:val="24"/>
          <w:szCs w:val="24"/>
          <w:lang w:val="en-US" w:eastAsia="fr-FR" w:bidi="he-IL"/>
        </w:rPr>
        <w:t xml:space="preserve"> for it</w:t>
      </w:r>
      <w:r w:rsidR="00BE76CA">
        <w:rPr>
          <w:rFonts w:asciiTheme="majorBidi" w:eastAsia="Times New Roman" w:hAnsiTheme="majorBidi" w:cstheme="majorBidi"/>
          <w:color w:val="000000"/>
          <w:sz w:val="24"/>
          <w:szCs w:val="24"/>
          <w:lang w:val="en-US" w:eastAsia="fr-FR" w:bidi="he-IL"/>
        </w:rPr>
        <w:t>,</w:t>
      </w:r>
      <w:r w:rsidR="008E4D8D" w:rsidRPr="00D806D9">
        <w:rPr>
          <w:rFonts w:asciiTheme="majorBidi" w:eastAsia="Times New Roman" w:hAnsiTheme="majorBidi" w:cstheme="majorBidi"/>
          <w:color w:val="000000"/>
          <w:sz w:val="24"/>
          <w:szCs w:val="24"/>
          <w:lang w:val="en-US" w:eastAsia="fr-FR" w:bidi="he-IL"/>
        </w:rPr>
        <w:t xml:space="preserve"> or subsiding substitute technologies</w:t>
      </w:r>
      <w:r w:rsidRPr="00D806D9">
        <w:rPr>
          <w:rFonts w:asciiTheme="majorBidi" w:eastAsia="Times New Roman" w:hAnsiTheme="majorBidi" w:cstheme="majorBidi"/>
          <w:color w:val="000000"/>
          <w:sz w:val="24"/>
          <w:szCs w:val="24"/>
          <w:lang w:val="en-US" w:eastAsia="fr-FR" w:bidi="he-IL"/>
        </w:rPr>
        <w:t xml:space="preserve">. </w:t>
      </w:r>
      <w:r w:rsidR="00C62C73" w:rsidRPr="00D806D9">
        <w:rPr>
          <w:rFonts w:asciiTheme="majorBidi" w:eastAsia="Times New Roman" w:hAnsiTheme="majorBidi" w:cstheme="majorBidi"/>
          <w:color w:val="000000"/>
          <w:sz w:val="24"/>
          <w:szCs w:val="24"/>
          <w:lang w:val="en-US" w:eastAsia="fr-FR" w:bidi="he-IL"/>
        </w:rPr>
        <w:t xml:space="preserve">So-called </w:t>
      </w:r>
      <w:r w:rsidR="00761A6C">
        <w:rPr>
          <w:rFonts w:asciiTheme="majorBidi" w:eastAsia="Times New Roman" w:hAnsiTheme="majorBidi" w:cstheme="majorBidi"/>
          <w:color w:val="000000"/>
          <w:sz w:val="24"/>
          <w:szCs w:val="24"/>
          <w:lang w:val="en-US" w:eastAsia="fr-FR" w:bidi="he-IL"/>
        </w:rPr>
        <w:t>market instruments</w:t>
      </w:r>
      <w:r w:rsidR="00C62C73" w:rsidRPr="00D806D9">
        <w:rPr>
          <w:rFonts w:asciiTheme="majorBidi" w:eastAsia="Times New Roman" w:hAnsiTheme="majorBidi" w:cstheme="majorBidi"/>
          <w:color w:val="000000"/>
          <w:sz w:val="24"/>
          <w:szCs w:val="24"/>
          <w:lang w:val="en-US" w:eastAsia="fr-FR" w:bidi="he-IL"/>
        </w:rPr>
        <w:t xml:space="preserve"> allow th</w:t>
      </w:r>
      <w:r w:rsidR="002B7517" w:rsidRPr="00D806D9">
        <w:rPr>
          <w:rFonts w:asciiTheme="majorBidi" w:eastAsia="Times New Roman" w:hAnsiTheme="majorBidi" w:cstheme="majorBidi"/>
          <w:color w:val="000000"/>
          <w:sz w:val="24"/>
          <w:szCs w:val="24"/>
          <w:lang w:val="en-US" w:eastAsia="fr-FR" w:bidi="he-IL"/>
        </w:rPr>
        <w:t>is</w:t>
      </w:r>
      <w:r w:rsidR="00C62C73" w:rsidRPr="00D806D9">
        <w:rPr>
          <w:rFonts w:asciiTheme="majorBidi" w:eastAsia="Times New Roman" w:hAnsiTheme="majorBidi" w:cstheme="majorBidi"/>
          <w:color w:val="000000"/>
          <w:sz w:val="24"/>
          <w:szCs w:val="24"/>
          <w:lang w:val="en-US" w:eastAsia="fr-FR" w:bidi="he-IL"/>
        </w:rPr>
        <w:t xml:space="preserve"> internalization “by returning an </w:t>
      </w:r>
      <w:r w:rsidR="00C62C73" w:rsidRPr="00D806D9">
        <w:rPr>
          <w:rFonts w:asciiTheme="majorBidi" w:eastAsia="Times New Roman" w:hAnsiTheme="majorBidi" w:cstheme="majorBidi"/>
          <w:sz w:val="24"/>
          <w:szCs w:val="24"/>
          <w:lang w:val="en-US" w:eastAsia="fr-FR" w:bidi="he-IL"/>
        </w:rPr>
        <w:t>appropriate fee or cost to the potential polluter” (</w:t>
      </w:r>
      <w:r w:rsidR="00C62C73" w:rsidRPr="00D806D9">
        <w:rPr>
          <w:rFonts w:asciiTheme="majorBidi" w:hAnsiTheme="majorBidi" w:cstheme="majorBidi"/>
          <w:sz w:val="24"/>
          <w:szCs w:val="24"/>
          <w:lang w:val="en-US"/>
        </w:rPr>
        <w:t>Faure &amp; Partain, 2019</w:t>
      </w:r>
      <w:r w:rsidR="00C62C73" w:rsidRPr="00D806D9">
        <w:rPr>
          <w:rFonts w:asciiTheme="majorBidi" w:eastAsia="Times New Roman" w:hAnsiTheme="majorBidi" w:cstheme="majorBidi"/>
          <w:sz w:val="24"/>
          <w:szCs w:val="24"/>
          <w:lang w:val="en-US" w:eastAsia="fr-FR" w:bidi="he-IL"/>
        </w:rPr>
        <w:t xml:space="preserve">, p.31). Besides, </w:t>
      </w:r>
      <w:r w:rsidRPr="00D806D9">
        <w:rPr>
          <w:rFonts w:asciiTheme="majorBidi" w:eastAsia="Times New Roman" w:hAnsiTheme="majorBidi" w:cstheme="majorBidi"/>
          <w:sz w:val="24"/>
          <w:szCs w:val="24"/>
          <w:lang w:val="en-US" w:eastAsia="fr-FR" w:bidi="he-IL"/>
        </w:rPr>
        <w:t xml:space="preserve">Coase (1960) offered </w:t>
      </w:r>
      <w:r w:rsidRPr="00D806D9">
        <w:rPr>
          <w:rFonts w:asciiTheme="majorBidi" w:eastAsia="Times New Roman" w:hAnsiTheme="majorBidi" w:cstheme="majorBidi"/>
          <w:color w:val="000000"/>
          <w:sz w:val="24"/>
          <w:szCs w:val="24"/>
          <w:lang w:val="en-US" w:eastAsia="fr-FR" w:bidi="he-IL"/>
        </w:rPr>
        <w:t>an analysis of externalities in terms of property rights. Their definition and assignment to the party producing the pollution and the one impacted by it would allow them to bargain and reach a mutually beneficial agreement</w:t>
      </w:r>
      <w:r w:rsidR="004B0411" w:rsidRPr="00D806D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provid</w:t>
      </w:r>
      <w:r w:rsidR="004B0411" w:rsidRPr="00D806D9">
        <w:rPr>
          <w:rFonts w:asciiTheme="majorBidi" w:eastAsia="Times New Roman" w:hAnsiTheme="majorBidi" w:cstheme="majorBidi"/>
          <w:color w:val="000000"/>
          <w:sz w:val="24"/>
          <w:szCs w:val="24"/>
          <w:lang w:val="en-US" w:eastAsia="fr-FR" w:bidi="he-IL"/>
        </w:rPr>
        <w:t>ed</w:t>
      </w:r>
      <w:r w:rsidRPr="00D806D9">
        <w:rPr>
          <w:rFonts w:asciiTheme="majorBidi" w:eastAsia="Times New Roman" w:hAnsiTheme="majorBidi" w:cstheme="majorBidi"/>
          <w:color w:val="000000"/>
          <w:sz w:val="24"/>
          <w:szCs w:val="24"/>
          <w:lang w:val="en-US" w:eastAsia="fr-FR" w:bidi="he-IL"/>
        </w:rPr>
        <w:t xml:space="preserve"> that </w:t>
      </w:r>
      <w:r w:rsidRPr="00D806D9">
        <w:rPr>
          <w:rFonts w:asciiTheme="majorBidi" w:eastAsia="Times New Roman" w:hAnsiTheme="majorBidi" w:cstheme="majorBidi"/>
          <w:color w:val="000000"/>
          <w:sz w:val="24"/>
          <w:szCs w:val="24"/>
          <w:lang w:val="en-US" w:eastAsia="fr-FR" w:bidi="he-IL"/>
        </w:rPr>
        <w:lastRenderedPageBreak/>
        <w:t xml:space="preserve">transaction costs would be low or inexistent. </w:t>
      </w:r>
      <w:r w:rsidR="00B76CE9" w:rsidRPr="00D806D9">
        <w:rPr>
          <w:rFonts w:asciiTheme="majorBidi" w:eastAsia="Times New Roman" w:hAnsiTheme="majorBidi" w:cstheme="majorBidi"/>
          <w:color w:val="000000"/>
          <w:sz w:val="24"/>
          <w:szCs w:val="24"/>
          <w:lang w:val="en-US" w:eastAsia="fr-FR" w:bidi="he-IL"/>
        </w:rPr>
        <w:t xml:space="preserve">Building </w:t>
      </w:r>
      <w:r w:rsidR="00BE76CA">
        <w:rPr>
          <w:rFonts w:asciiTheme="majorBidi" w:eastAsia="Times New Roman" w:hAnsiTheme="majorBidi" w:cstheme="majorBidi"/>
          <w:color w:val="000000"/>
          <w:sz w:val="24"/>
          <w:szCs w:val="24"/>
          <w:lang w:val="en-US" w:eastAsia="fr-FR" w:bidi="he-IL"/>
        </w:rPr>
        <w:t>upon</w:t>
      </w:r>
      <w:r w:rsidR="00B76CE9" w:rsidRPr="00D806D9">
        <w:rPr>
          <w:rFonts w:asciiTheme="majorBidi" w:eastAsia="Times New Roman" w:hAnsiTheme="majorBidi" w:cstheme="majorBidi"/>
          <w:color w:val="000000"/>
          <w:sz w:val="24"/>
          <w:szCs w:val="24"/>
          <w:lang w:val="en-US" w:eastAsia="fr-FR" w:bidi="he-IL"/>
        </w:rPr>
        <w:t xml:space="preserve"> both ideas, </w:t>
      </w:r>
      <w:r w:rsidR="000C4D36" w:rsidRPr="00D806D9">
        <w:rPr>
          <w:rFonts w:asciiTheme="majorBidi" w:eastAsia="Times New Roman" w:hAnsiTheme="majorBidi" w:cstheme="majorBidi"/>
          <w:color w:val="000000"/>
          <w:sz w:val="24"/>
          <w:szCs w:val="24"/>
          <w:lang w:val="en-US" w:eastAsia="fr-FR" w:bidi="he-IL"/>
        </w:rPr>
        <w:t>Crocker (196</w:t>
      </w:r>
      <w:r w:rsidR="00414C76" w:rsidRPr="00D806D9">
        <w:rPr>
          <w:rFonts w:asciiTheme="majorBidi" w:eastAsia="Times New Roman" w:hAnsiTheme="majorBidi" w:cstheme="majorBidi"/>
          <w:color w:val="000000"/>
          <w:sz w:val="24"/>
          <w:szCs w:val="24"/>
          <w:lang w:val="en-US" w:eastAsia="fr-FR" w:bidi="he-IL"/>
        </w:rPr>
        <w:t>8</w:t>
      </w:r>
      <w:r w:rsidR="000C4D36" w:rsidRPr="00D806D9">
        <w:rPr>
          <w:rFonts w:asciiTheme="majorBidi" w:eastAsia="Times New Roman" w:hAnsiTheme="majorBidi" w:cstheme="majorBidi"/>
          <w:color w:val="000000"/>
          <w:sz w:val="24"/>
          <w:szCs w:val="24"/>
          <w:lang w:val="en-US" w:eastAsia="fr-FR" w:bidi="he-IL"/>
        </w:rPr>
        <w:t xml:space="preserve">) and Dales (1968) </w:t>
      </w:r>
      <w:r w:rsidR="00B76CE9" w:rsidRPr="00D806D9">
        <w:rPr>
          <w:rFonts w:asciiTheme="majorBidi" w:eastAsia="Times New Roman" w:hAnsiTheme="majorBidi" w:cstheme="majorBidi"/>
          <w:color w:val="000000"/>
          <w:sz w:val="24"/>
          <w:szCs w:val="24"/>
          <w:lang w:val="en-US" w:eastAsia="fr-FR" w:bidi="he-IL"/>
        </w:rPr>
        <w:t xml:space="preserve">proposed a new policy instrument: </w:t>
      </w:r>
      <w:r w:rsidR="00DF1A32" w:rsidRPr="00D806D9">
        <w:rPr>
          <w:rFonts w:asciiTheme="majorBidi" w:eastAsia="Times New Roman" w:hAnsiTheme="majorBidi" w:cstheme="majorBidi"/>
          <w:color w:val="000000"/>
          <w:sz w:val="24"/>
          <w:szCs w:val="24"/>
          <w:lang w:val="en-US" w:eastAsia="fr-FR" w:bidi="he-IL"/>
        </w:rPr>
        <w:t>the emission trading system</w:t>
      </w:r>
      <w:r w:rsidR="00B76CE9" w:rsidRPr="00D806D9">
        <w:rPr>
          <w:rFonts w:asciiTheme="majorBidi" w:eastAsia="Times New Roman" w:hAnsiTheme="majorBidi" w:cstheme="majorBidi"/>
          <w:color w:val="000000"/>
          <w:sz w:val="24"/>
          <w:szCs w:val="24"/>
          <w:lang w:val="en-US" w:eastAsia="fr-FR" w:bidi="he-IL"/>
        </w:rPr>
        <w:t xml:space="preserve">. </w:t>
      </w:r>
    </w:p>
    <w:p w14:paraId="7B7CEC90" w14:textId="4857C266" w:rsidR="003F07D0" w:rsidRPr="00D806D9" w:rsidRDefault="003F07D0"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GHGE are a negative externality of current economic activities based on fossil fuels. </w:t>
      </w:r>
      <w:r w:rsidR="008B7028">
        <w:rPr>
          <w:rFonts w:asciiTheme="majorBidi" w:eastAsia="Times New Roman" w:hAnsiTheme="majorBidi" w:cstheme="majorBidi"/>
          <w:color w:val="000000"/>
          <w:sz w:val="24"/>
          <w:szCs w:val="24"/>
          <w:lang w:val="en-US" w:eastAsia="fr-FR" w:bidi="he-IL"/>
        </w:rPr>
        <w:t>This</w:t>
      </w:r>
      <w:r w:rsidRPr="00D806D9">
        <w:rPr>
          <w:rFonts w:asciiTheme="majorBidi" w:eastAsia="Times New Roman" w:hAnsiTheme="majorBidi" w:cstheme="majorBidi"/>
          <w:color w:val="000000"/>
          <w:sz w:val="24"/>
          <w:szCs w:val="24"/>
          <w:lang w:val="en-US" w:eastAsia="fr-FR" w:bidi="he-IL"/>
        </w:rPr>
        <w:t xml:space="preserve"> harm</w:t>
      </w:r>
      <w:r w:rsidR="008B7028">
        <w:rPr>
          <w:rFonts w:asciiTheme="majorBidi" w:eastAsia="Times New Roman" w:hAnsiTheme="majorBidi" w:cstheme="majorBidi"/>
          <w:color w:val="000000"/>
          <w:sz w:val="24"/>
          <w:szCs w:val="24"/>
          <w:lang w:val="en-US" w:eastAsia="fr-FR" w:bidi="he-IL"/>
        </w:rPr>
        <w:t>s</w:t>
      </w:r>
      <w:r w:rsidRPr="00D806D9">
        <w:rPr>
          <w:rFonts w:asciiTheme="majorBidi" w:eastAsia="Times New Roman" w:hAnsiTheme="majorBidi" w:cstheme="majorBidi"/>
          <w:color w:val="000000"/>
          <w:sz w:val="24"/>
          <w:szCs w:val="24"/>
          <w:lang w:val="en-US" w:eastAsia="fr-FR" w:bidi="he-IL"/>
        </w:rPr>
        <w:t xml:space="preserve"> consumers and hamper</w:t>
      </w:r>
      <w:r w:rsidR="008B7028">
        <w:rPr>
          <w:rFonts w:asciiTheme="majorBidi" w:eastAsia="Times New Roman" w:hAnsiTheme="majorBidi" w:cstheme="majorBidi"/>
          <w:color w:val="000000"/>
          <w:sz w:val="24"/>
          <w:szCs w:val="24"/>
          <w:lang w:val="en-US" w:eastAsia="fr-FR" w:bidi="he-IL"/>
        </w:rPr>
        <w:t>s</w:t>
      </w:r>
      <w:r w:rsidRPr="00D806D9">
        <w:rPr>
          <w:rFonts w:asciiTheme="majorBidi" w:eastAsia="Times New Roman" w:hAnsiTheme="majorBidi" w:cstheme="majorBidi"/>
          <w:color w:val="000000"/>
          <w:sz w:val="24"/>
          <w:szCs w:val="24"/>
          <w:lang w:val="en-US" w:eastAsia="fr-FR" w:bidi="he-IL"/>
        </w:rPr>
        <w:t xml:space="preserve"> future economic growth perspectives. ETS aims at valuing and internalizing emission costs through the “polluter pays principle”. </w:t>
      </w:r>
      <w:r w:rsidR="00AB5A10" w:rsidRPr="00D806D9">
        <w:rPr>
          <w:rFonts w:asciiTheme="majorBidi" w:eastAsia="Times New Roman" w:hAnsiTheme="majorBidi" w:cstheme="majorBidi"/>
          <w:color w:val="000000"/>
          <w:sz w:val="24"/>
          <w:szCs w:val="24"/>
          <w:lang w:val="en-US" w:eastAsia="fr-FR" w:bidi="he-IL"/>
        </w:rPr>
        <w:t xml:space="preserve">Microeconomics </w:t>
      </w:r>
      <w:r w:rsidR="00BE76CA">
        <w:rPr>
          <w:rFonts w:asciiTheme="majorBidi" w:eastAsia="Times New Roman" w:hAnsiTheme="majorBidi" w:cstheme="majorBidi"/>
          <w:color w:val="000000"/>
          <w:sz w:val="24"/>
          <w:szCs w:val="24"/>
          <w:lang w:val="en-US" w:eastAsia="fr-FR" w:bidi="he-IL"/>
        </w:rPr>
        <w:t>explains</w:t>
      </w:r>
      <w:r w:rsidR="00AB5A10" w:rsidRPr="00D806D9">
        <w:rPr>
          <w:rFonts w:asciiTheme="majorBidi" w:eastAsia="Times New Roman" w:hAnsiTheme="majorBidi" w:cstheme="majorBidi"/>
          <w:color w:val="000000"/>
          <w:sz w:val="24"/>
          <w:szCs w:val="24"/>
          <w:lang w:val="en-US" w:eastAsia="fr-FR" w:bidi="he-IL"/>
        </w:rPr>
        <w:t xml:space="preserve"> that </w:t>
      </w:r>
      <w:r w:rsidRPr="00D806D9">
        <w:rPr>
          <w:rFonts w:asciiTheme="majorBidi" w:eastAsia="Times New Roman" w:hAnsiTheme="majorBidi" w:cstheme="majorBidi"/>
          <w:color w:val="000000"/>
          <w:sz w:val="24"/>
          <w:szCs w:val="24"/>
          <w:lang w:val="en-US" w:eastAsia="fr-FR" w:bidi="he-IL"/>
        </w:rPr>
        <w:t>a specific GHGE reduction will be cost-effective solely if the marginal costs of control are equalized for all emitters</w:t>
      </w:r>
      <w:r w:rsidR="003542C7" w:rsidRPr="00D806D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these costs corresponding to MAC. By implementing legislative restrictions on GHGE and issuing limited emissions tradable rights, </w:t>
      </w:r>
      <w:r w:rsidR="00BE76CA">
        <w:rPr>
          <w:rFonts w:asciiTheme="majorBidi" w:eastAsia="Times New Roman" w:hAnsiTheme="majorBidi" w:cstheme="majorBidi"/>
          <w:color w:val="000000"/>
          <w:sz w:val="24"/>
          <w:szCs w:val="24"/>
          <w:lang w:val="en-US" w:eastAsia="fr-FR" w:bidi="he-IL"/>
        </w:rPr>
        <w:t>policymakers</w:t>
      </w:r>
      <w:r w:rsidRPr="00D806D9">
        <w:rPr>
          <w:rFonts w:asciiTheme="majorBidi" w:eastAsia="Times New Roman" w:hAnsiTheme="majorBidi" w:cstheme="majorBidi"/>
          <w:color w:val="000000"/>
          <w:sz w:val="24"/>
          <w:szCs w:val="24"/>
          <w:lang w:val="en-US" w:eastAsia="fr-FR" w:bidi="he-IL"/>
        </w:rPr>
        <w:t xml:space="preserve"> set up the “rights to pollute market”, supply and demand </w:t>
      </w:r>
      <w:r w:rsidR="00BE1D05" w:rsidRPr="00D806D9">
        <w:rPr>
          <w:rFonts w:asciiTheme="majorBidi" w:eastAsia="Times New Roman" w:hAnsiTheme="majorBidi" w:cstheme="majorBidi"/>
          <w:color w:val="000000"/>
          <w:sz w:val="24"/>
          <w:szCs w:val="24"/>
          <w:lang w:val="en-US" w:eastAsia="fr-FR" w:bidi="he-IL"/>
        </w:rPr>
        <w:t xml:space="preserve">theoretically </w:t>
      </w:r>
      <w:r w:rsidRPr="00D806D9">
        <w:rPr>
          <w:rFonts w:asciiTheme="majorBidi" w:eastAsia="Times New Roman" w:hAnsiTheme="majorBidi" w:cstheme="majorBidi"/>
          <w:color w:val="000000"/>
          <w:sz w:val="24"/>
          <w:szCs w:val="24"/>
          <w:lang w:val="en-US" w:eastAsia="fr-FR" w:bidi="he-IL"/>
        </w:rPr>
        <w:t>defining allowances’ price</w:t>
      </w:r>
      <w:r w:rsidR="00DA02E9" w:rsidRPr="00D806D9">
        <w:rPr>
          <w:rFonts w:asciiTheme="majorBidi" w:eastAsia="Times New Roman" w:hAnsiTheme="majorBidi" w:cstheme="majorBidi"/>
          <w:color w:val="000000"/>
          <w:sz w:val="24"/>
          <w:szCs w:val="24"/>
          <w:lang w:val="en-US" w:eastAsia="fr-FR" w:bidi="he-IL"/>
        </w:rPr>
        <w:t xml:space="preserve"> and reducing information costs</w:t>
      </w:r>
      <w:r w:rsidRPr="00D806D9">
        <w:rPr>
          <w:rFonts w:asciiTheme="majorBidi" w:eastAsia="Times New Roman" w:hAnsiTheme="majorBidi" w:cstheme="majorBidi"/>
          <w:color w:val="000000"/>
          <w:sz w:val="24"/>
          <w:szCs w:val="24"/>
          <w:lang w:val="en-US" w:eastAsia="fr-FR" w:bidi="he-IL"/>
        </w:rPr>
        <w:t xml:space="preserve">. </w:t>
      </w:r>
    </w:p>
    <w:p w14:paraId="5367F015" w14:textId="14CE0904" w:rsidR="00BC0997" w:rsidRPr="00D806D9" w:rsidRDefault="003F07D0"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Babiker et al. (2004) </w:t>
      </w:r>
      <w:r w:rsidR="00184BEC" w:rsidRPr="00D806D9">
        <w:rPr>
          <w:rFonts w:asciiTheme="majorBidi" w:eastAsia="Times New Roman" w:hAnsiTheme="majorBidi" w:cstheme="majorBidi"/>
          <w:color w:val="000000"/>
          <w:sz w:val="24"/>
          <w:szCs w:val="24"/>
          <w:lang w:val="en-US" w:eastAsia="fr-FR" w:bidi="he-IL"/>
        </w:rPr>
        <w:t>showed that</w:t>
      </w:r>
      <w:r w:rsidR="00B97528" w:rsidRPr="00D806D9">
        <w:rPr>
          <w:rFonts w:asciiTheme="majorBidi" w:eastAsia="Times New Roman" w:hAnsiTheme="majorBidi" w:cstheme="majorBidi"/>
          <w:color w:val="000000"/>
          <w:sz w:val="24"/>
          <w:szCs w:val="24"/>
          <w:lang w:val="en-US" w:eastAsia="fr-FR" w:bidi="he-IL"/>
        </w:rPr>
        <w:t>,</w:t>
      </w:r>
      <w:r w:rsidR="00184BEC" w:rsidRPr="00D806D9">
        <w:rPr>
          <w:rFonts w:asciiTheme="majorBidi" w:eastAsia="Times New Roman" w:hAnsiTheme="majorBidi" w:cstheme="majorBidi"/>
          <w:color w:val="000000"/>
          <w:sz w:val="24"/>
          <w:szCs w:val="24"/>
          <w:lang w:val="en-US" w:eastAsia="fr-FR" w:bidi="he-IL"/>
        </w:rPr>
        <w:t xml:space="preserve"> assuming no distortions</w:t>
      </w:r>
      <w:r w:rsidR="00B97528" w:rsidRPr="00D806D9">
        <w:rPr>
          <w:rFonts w:asciiTheme="majorBidi" w:eastAsia="Times New Roman" w:hAnsiTheme="majorBidi" w:cstheme="majorBidi"/>
          <w:color w:val="000000"/>
          <w:sz w:val="24"/>
          <w:szCs w:val="24"/>
          <w:lang w:val="en-US" w:eastAsia="fr-FR" w:bidi="he-IL"/>
        </w:rPr>
        <w:t>,</w:t>
      </w:r>
      <w:r w:rsidR="00184BEC" w:rsidRPr="00D806D9">
        <w:rPr>
          <w:rFonts w:asciiTheme="majorBidi" w:eastAsia="Times New Roman" w:hAnsiTheme="majorBidi" w:cstheme="majorBidi"/>
          <w:color w:val="000000"/>
          <w:sz w:val="24"/>
          <w:szCs w:val="24"/>
          <w:lang w:val="en-US" w:eastAsia="fr-FR" w:bidi="he-IL"/>
        </w:rPr>
        <w:t xml:space="preserve"> this solution is</w:t>
      </w:r>
      <w:r w:rsidRPr="00D806D9">
        <w:rPr>
          <w:rFonts w:asciiTheme="majorBidi" w:eastAsia="Times New Roman" w:hAnsiTheme="majorBidi" w:cstheme="majorBidi"/>
          <w:sz w:val="24"/>
          <w:szCs w:val="24"/>
          <w:lang w:val="en-US" w:eastAsia="fr-FR" w:bidi="he-IL"/>
        </w:rPr>
        <w:t xml:space="preserve"> cost-effective (Figure </w:t>
      </w:r>
      <w:r w:rsidR="00DD1730" w:rsidRPr="00D806D9">
        <w:rPr>
          <w:rFonts w:asciiTheme="majorBidi" w:eastAsia="Times New Roman" w:hAnsiTheme="majorBidi" w:cstheme="majorBidi"/>
          <w:sz w:val="24"/>
          <w:szCs w:val="24"/>
          <w:lang w:val="en-US" w:eastAsia="fr-FR" w:bidi="he-IL"/>
        </w:rPr>
        <w:t>1</w:t>
      </w:r>
      <w:r w:rsidRPr="00D806D9">
        <w:rPr>
          <w:rFonts w:asciiTheme="majorBidi" w:eastAsia="Times New Roman" w:hAnsiTheme="majorBidi" w:cstheme="majorBidi"/>
          <w:sz w:val="24"/>
          <w:szCs w:val="24"/>
          <w:lang w:val="en-US" w:eastAsia="fr-FR" w:bidi="he-IL"/>
        </w:rPr>
        <w:t xml:space="preserve">). </w:t>
      </w:r>
      <w:r w:rsidR="00B97528" w:rsidRPr="00D806D9">
        <w:rPr>
          <w:rFonts w:asciiTheme="majorBidi" w:eastAsia="Times New Roman" w:hAnsiTheme="majorBidi" w:cstheme="majorBidi"/>
          <w:sz w:val="24"/>
          <w:szCs w:val="24"/>
          <w:lang w:val="en-US" w:eastAsia="fr-FR" w:bidi="he-IL"/>
        </w:rPr>
        <w:t>If</w:t>
      </w:r>
      <w:r w:rsidRPr="00D806D9">
        <w:rPr>
          <w:rFonts w:asciiTheme="majorBidi" w:eastAsia="Times New Roman" w:hAnsiTheme="majorBidi" w:cstheme="majorBidi"/>
          <w:sz w:val="24"/>
          <w:szCs w:val="24"/>
          <w:lang w:val="en-US" w:eastAsia="fr-FR" w:bidi="he-IL"/>
        </w:rPr>
        <w:t xml:space="preserve"> </w:t>
      </w:r>
      <w:r w:rsidR="001D7188" w:rsidRPr="00D806D9">
        <w:rPr>
          <w:rFonts w:asciiTheme="majorBidi" w:eastAsia="Times New Roman" w:hAnsiTheme="majorBidi" w:cstheme="majorBidi"/>
          <w:color w:val="000000"/>
          <w:sz w:val="24"/>
          <w:szCs w:val="24"/>
          <w:lang w:val="en-US" w:eastAsia="fr-FR" w:bidi="he-IL"/>
        </w:rPr>
        <w:t>policymakers</w:t>
      </w:r>
      <w:r w:rsidRPr="00D806D9">
        <w:rPr>
          <w:rFonts w:asciiTheme="majorBidi" w:eastAsia="Times New Roman" w:hAnsiTheme="majorBidi" w:cstheme="majorBidi"/>
          <w:color w:val="000000"/>
          <w:sz w:val="24"/>
          <w:szCs w:val="24"/>
          <w:lang w:val="en-US" w:eastAsia="fr-FR" w:bidi="he-IL"/>
        </w:rPr>
        <w:t xml:space="preserve"> set the optimal total emission reduction at Q*</w:t>
      </w:r>
      <w:r w:rsidR="00B97528" w:rsidRPr="00D806D9">
        <w:rPr>
          <w:rFonts w:asciiTheme="majorBidi" w:eastAsia="Times New Roman" w:hAnsiTheme="majorBidi" w:cstheme="majorBidi"/>
          <w:color w:val="000000"/>
          <w:sz w:val="24"/>
          <w:szCs w:val="24"/>
          <w:lang w:val="en-US" w:eastAsia="fr-FR" w:bidi="he-IL"/>
        </w:rPr>
        <w:t xml:space="preserve">, </w:t>
      </w:r>
      <w:r w:rsidR="00BE76CA">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GHGE reduction target </w:t>
      </w:r>
      <w:r w:rsidR="00BE76CA">
        <w:rPr>
          <w:rFonts w:asciiTheme="majorBidi" w:eastAsia="Times New Roman" w:hAnsiTheme="majorBidi" w:cstheme="majorBidi"/>
          <w:color w:val="000000"/>
          <w:sz w:val="24"/>
          <w:szCs w:val="24"/>
          <w:lang w:val="en-US" w:eastAsia="fr-FR" w:bidi="he-IL"/>
        </w:rPr>
        <w:t>is</w:t>
      </w:r>
      <w:r w:rsidRPr="00D806D9">
        <w:rPr>
          <w:rFonts w:asciiTheme="majorBidi" w:eastAsia="Times New Roman" w:hAnsiTheme="majorBidi" w:cstheme="majorBidi"/>
          <w:color w:val="000000"/>
          <w:sz w:val="24"/>
          <w:szCs w:val="24"/>
          <w:lang w:val="en-US" w:eastAsia="fr-FR" w:bidi="he-IL"/>
        </w:rPr>
        <w:t xml:space="preserve"> allocated equally between Firm 1 (MAC1) and Firm 2 (MAC2), both lower</w:t>
      </w:r>
      <w:r w:rsidR="00BE76CA">
        <w:rPr>
          <w:rFonts w:asciiTheme="majorBidi" w:eastAsia="Times New Roman" w:hAnsiTheme="majorBidi" w:cstheme="majorBidi"/>
          <w:color w:val="000000"/>
          <w:sz w:val="24"/>
          <w:szCs w:val="24"/>
          <w:lang w:val="en-US" w:eastAsia="fr-FR" w:bidi="he-IL"/>
        </w:rPr>
        <w:t>ing</w:t>
      </w:r>
      <w:r w:rsidRPr="00D806D9">
        <w:rPr>
          <w:rFonts w:asciiTheme="majorBidi" w:eastAsia="Times New Roman" w:hAnsiTheme="majorBidi" w:cstheme="majorBidi"/>
          <w:color w:val="000000"/>
          <w:sz w:val="24"/>
          <w:szCs w:val="24"/>
          <w:lang w:val="en-US" w:eastAsia="fr-FR" w:bidi="he-IL"/>
        </w:rPr>
        <w:t xml:space="preserve"> GHGE so that Q1 = Q2. The outcome is not efficient as </w:t>
      </w:r>
      <w:r w:rsidR="002C2F53">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MAC for Firm 1 is higher than for Firm 2. Assume now that an ETS is implemented</w:t>
      </w:r>
      <w:r w:rsidR="00B97528" w:rsidRPr="00D806D9">
        <w:rPr>
          <w:rFonts w:asciiTheme="majorBidi" w:eastAsia="Times New Roman" w:hAnsiTheme="majorBidi" w:cstheme="majorBidi"/>
          <w:color w:val="000000"/>
          <w:sz w:val="24"/>
          <w:szCs w:val="24"/>
          <w:lang w:val="en-US" w:eastAsia="fr-FR" w:bidi="he-IL"/>
        </w:rPr>
        <w:t>:</w:t>
      </w:r>
      <w:r w:rsidR="00184BEC" w:rsidRPr="00D806D9">
        <w:rPr>
          <w:rFonts w:asciiTheme="majorBidi" w:eastAsia="Times New Roman" w:hAnsiTheme="majorBidi" w:cstheme="majorBidi"/>
          <w:color w:val="000000"/>
          <w:sz w:val="24"/>
          <w:szCs w:val="24"/>
          <w:lang w:val="en-US" w:eastAsia="fr-FR" w:bidi="he-IL"/>
        </w:rPr>
        <w:t xml:space="preserve"> each</w:t>
      </w:r>
      <w:r w:rsidRPr="00D806D9">
        <w:rPr>
          <w:rFonts w:asciiTheme="majorBidi" w:eastAsia="Times New Roman" w:hAnsiTheme="majorBidi" w:cstheme="majorBidi"/>
          <w:color w:val="000000"/>
          <w:sz w:val="24"/>
          <w:szCs w:val="24"/>
          <w:lang w:val="en-US" w:eastAsia="fr-FR" w:bidi="he-IL"/>
        </w:rPr>
        <w:t xml:space="preserve"> firm diminishes </w:t>
      </w:r>
      <w:r w:rsidR="00184BEC" w:rsidRPr="00D806D9">
        <w:rPr>
          <w:rFonts w:asciiTheme="majorBidi" w:eastAsia="Times New Roman" w:hAnsiTheme="majorBidi" w:cstheme="majorBidi"/>
          <w:color w:val="000000"/>
          <w:sz w:val="24"/>
          <w:szCs w:val="24"/>
          <w:lang w:val="en-US" w:eastAsia="fr-FR" w:bidi="he-IL"/>
        </w:rPr>
        <w:t xml:space="preserve">its </w:t>
      </w:r>
      <w:r w:rsidRPr="00D806D9">
        <w:rPr>
          <w:rFonts w:asciiTheme="majorBidi" w:eastAsia="Times New Roman" w:hAnsiTheme="majorBidi" w:cstheme="majorBidi"/>
          <w:color w:val="000000"/>
          <w:sz w:val="24"/>
          <w:szCs w:val="24"/>
          <w:lang w:val="en-US" w:eastAsia="fr-FR" w:bidi="he-IL"/>
        </w:rPr>
        <w:t>GHGE until their respective MAC equals the allowance market price</w:t>
      </w:r>
      <w:r w:rsidR="00184BEC" w:rsidRPr="00D806D9">
        <w:rPr>
          <w:rFonts w:asciiTheme="majorBidi" w:eastAsia="Times New Roman" w:hAnsiTheme="majorBidi" w:cstheme="majorBidi"/>
          <w:color w:val="000000"/>
          <w:sz w:val="24"/>
          <w:szCs w:val="24"/>
          <w:lang w:val="en-US" w:eastAsia="fr-FR" w:bidi="he-IL"/>
        </w:rPr>
        <w:t xml:space="preserve"> </w:t>
      </w:r>
      <w:r w:rsidR="00B97528" w:rsidRPr="00D806D9">
        <w:rPr>
          <w:rFonts w:asciiTheme="majorBidi" w:eastAsia="Times New Roman" w:hAnsiTheme="majorBidi" w:cstheme="majorBidi"/>
          <w:color w:val="000000"/>
          <w:sz w:val="24"/>
          <w:szCs w:val="24"/>
          <w:lang w:val="en-US" w:eastAsia="fr-FR" w:bidi="he-IL"/>
        </w:rPr>
        <w:t xml:space="preserve">P* </w:t>
      </w:r>
      <w:r w:rsidR="00184BEC" w:rsidRPr="00D806D9">
        <w:rPr>
          <w:rFonts w:asciiTheme="majorBidi" w:eastAsia="Times New Roman" w:hAnsiTheme="majorBidi" w:cstheme="majorBidi"/>
          <w:color w:val="000000"/>
          <w:sz w:val="24"/>
          <w:szCs w:val="24"/>
          <w:lang w:val="en-US" w:eastAsia="fr-FR" w:bidi="he-IL"/>
        </w:rPr>
        <w:t xml:space="preserve">following their </w:t>
      </w:r>
      <w:r w:rsidR="00BE76CA">
        <w:rPr>
          <w:rFonts w:asciiTheme="majorBidi" w:eastAsia="Times New Roman" w:hAnsiTheme="majorBidi" w:cstheme="majorBidi"/>
          <w:color w:val="000000"/>
          <w:sz w:val="24"/>
          <w:szCs w:val="24"/>
          <w:lang w:val="en-US" w:eastAsia="fr-FR" w:bidi="he-IL"/>
        </w:rPr>
        <w:t>respective</w:t>
      </w:r>
      <w:r w:rsidR="00184BEC" w:rsidRPr="00D806D9">
        <w:rPr>
          <w:rFonts w:asciiTheme="majorBidi" w:eastAsia="Times New Roman" w:hAnsiTheme="majorBidi" w:cstheme="majorBidi"/>
          <w:color w:val="000000"/>
          <w:sz w:val="24"/>
          <w:szCs w:val="24"/>
          <w:lang w:val="en-US" w:eastAsia="fr-FR" w:bidi="he-IL"/>
        </w:rPr>
        <w:t xml:space="preserve"> cost function</w:t>
      </w:r>
      <w:r w:rsidRPr="00D806D9">
        <w:rPr>
          <w:rFonts w:asciiTheme="majorBidi" w:eastAsia="Times New Roman" w:hAnsiTheme="majorBidi" w:cstheme="majorBidi"/>
          <w:color w:val="000000"/>
          <w:sz w:val="24"/>
          <w:szCs w:val="24"/>
          <w:lang w:val="en-US" w:eastAsia="fr-FR" w:bidi="he-IL"/>
        </w:rPr>
        <w:t xml:space="preserve">. At this point, Firm 1 buys and Firm 2 sells emission rights. </w:t>
      </w:r>
      <w:r w:rsidR="009967EC" w:rsidRPr="00D806D9">
        <w:rPr>
          <w:rFonts w:asciiTheme="majorBidi" w:eastAsia="Times New Roman" w:hAnsiTheme="majorBidi" w:cstheme="majorBidi"/>
          <w:color w:val="000000"/>
          <w:sz w:val="24"/>
          <w:szCs w:val="24"/>
          <w:lang w:val="en-US" w:eastAsia="fr-FR" w:bidi="he-IL"/>
        </w:rPr>
        <w:t>Ultimately</w:t>
      </w:r>
      <w:r w:rsidRPr="00D806D9">
        <w:rPr>
          <w:rFonts w:asciiTheme="majorBidi" w:eastAsia="Times New Roman" w:hAnsiTheme="majorBidi" w:cstheme="majorBidi"/>
          <w:color w:val="000000"/>
          <w:sz w:val="24"/>
          <w:szCs w:val="24"/>
          <w:lang w:val="en-US" w:eastAsia="fr-FR" w:bidi="he-IL"/>
        </w:rPr>
        <w:t xml:space="preserve">, GHGE are cut by the same amount compared </w:t>
      </w:r>
      <w:r w:rsidR="002C2F53">
        <w:rPr>
          <w:rFonts w:asciiTheme="majorBidi" w:eastAsia="Times New Roman" w:hAnsiTheme="majorBidi" w:cstheme="majorBidi"/>
          <w:color w:val="000000"/>
          <w:sz w:val="24"/>
          <w:szCs w:val="24"/>
          <w:lang w:val="en-US" w:eastAsia="fr-FR" w:bidi="he-IL"/>
        </w:rPr>
        <w:t>with</w:t>
      </w:r>
      <w:r w:rsidRPr="00D806D9">
        <w:rPr>
          <w:rFonts w:asciiTheme="majorBidi" w:eastAsia="Times New Roman" w:hAnsiTheme="majorBidi" w:cstheme="majorBidi"/>
          <w:color w:val="000000"/>
          <w:sz w:val="24"/>
          <w:szCs w:val="24"/>
          <w:lang w:val="en-US" w:eastAsia="fr-FR" w:bidi="he-IL"/>
        </w:rPr>
        <w:t xml:space="preserve"> emission constraints</w:t>
      </w:r>
      <w:r w:rsidR="00184BEC" w:rsidRPr="00D806D9">
        <w:rPr>
          <w:rFonts w:asciiTheme="majorBidi" w:eastAsia="Times New Roman" w:hAnsiTheme="majorBidi" w:cstheme="majorBidi"/>
          <w:color w:val="000000"/>
          <w:sz w:val="24"/>
          <w:szCs w:val="24"/>
          <w:lang w:val="en-US" w:eastAsia="fr-FR" w:bidi="he-IL"/>
        </w:rPr>
        <w:t xml:space="preserve"> set by </w:t>
      </w:r>
      <w:r w:rsidR="001D7188" w:rsidRPr="00D806D9">
        <w:rPr>
          <w:rFonts w:asciiTheme="majorBidi" w:eastAsia="Times New Roman" w:hAnsiTheme="majorBidi" w:cstheme="majorBidi"/>
          <w:color w:val="000000"/>
          <w:sz w:val="24"/>
          <w:szCs w:val="24"/>
          <w:lang w:val="en-US" w:eastAsia="fr-FR" w:bidi="he-IL"/>
        </w:rPr>
        <w:t>policymakers</w:t>
      </w:r>
      <w:r w:rsidRPr="00D806D9">
        <w:rPr>
          <w:rFonts w:asciiTheme="majorBidi" w:eastAsia="Times New Roman" w:hAnsiTheme="majorBidi" w:cstheme="majorBidi"/>
          <w:color w:val="000000"/>
          <w:sz w:val="24"/>
          <w:szCs w:val="24"/>
          <w:lang w:val="en-US" w:eastAsia="fr-FR" w:bidi="he-IL"/>
        </w:rPr>
        <w:t>. However, both firms are better off because net income gains are created (triangles A and B)</w:t>
      </w:r>
      <w:r w:rsidR="003D73C4" w:rsidRPr="00D806D9">
        <w:rPr>
          <w:rFonts w:asciiTheme="majorBidi" w:eastAsia="Times New Roman" w:hAnsiTheme="majorBidi" w:cstheme="majorBidi"/>
          <w:color w:val="000000"/>
          <w:sz w:val="24"/>
          <w:szCs w:val="24"/>
          <w:lang w:val="en-US" w:eastAsia="fr-FR" w:bidi="he-IL"/>
        </w:rPr>
        <w:t xml:space="preserve">, </w:t>
      </w:r>
      <w:r w:rsidR="00BE76CA">
        <w:rPr>
          <w:rFonts w:asciiTheme="majorBidi" w:eastAsia="Times New Roman" w:hAnsiTheme="majorBidi" w:cstheme="majorBidi"/>
          <w:color w:val="000000"/>
          <w:sz w:val="24"/>
          <w:szCs w:val="24"/>
          <w:lang w:val="en-US" w:eastAsia="fr-FR" w:bidi="he-IL"/>
        </w:rPr>
        <w:t xml:space="preserve">a </w:t>
      </w:r>
      <w:r w:rsidR="003D73C4" w:rsidRPr="00D806D9">
        <w:rPr>
          <w:rFonts w:asciiTheme="majorBidi" w:eastAsia="Times New Roman" w:hAnsiTheme="majorBidi" w:cstheme="majorBidi"/>
          <w:color w:val="000000"/>
          <w:sz w:val="24"/>
          <w:szCs w:val="24"/>
          <w:lang w:val="en-US" w:eastAsia="fr-FR" w:bidi="he-IL"/>
        </w:rPr>
        <w:t xml:space="preserve">situation </w:t>
      </w:r>
      <w:r w:rsidRPr="00D806D9">
        <w:rPr>
          <w:rFonts w:asciiTheme="majorBidi" w:eastAsia="Times New Roman" w:hAnsiTheme="majorBidi" w:cstheme="majorBidi"/>
          <w:color w:val="000000"/>
          <w:sz w:val="24"/>
          <w:szCs w:val="24"/>
          <w:lang w:val="en-US" w:eastAsia="fr-FR" w:bidi="he-IL"/>
        </w:rPr>
        <w:t>represent</w:t>
      </w:r>
      <w:r w:rsidR="003D73C4" w:rsidRPr="00D806D9">
        <w:rPr>
          <w:rFonts w:asciiTheme="majorBidi" w:eastAsia="Times New Roman" w:hAnsiTheme="majorBidi" w:cstheme="majorBidi"/>
          <w:color w:val="000000"/>
          <w:sz w:val="24"/>
          <w:szCs w:val="24"/>
          <w:lang w:val="en-US" w:eastAsia="fr-FR" w:bidi="he-IL"/>
        </w:rPr>
        <w:t>ing</w:t>
      </w:r>
      <w:r w:rsidRPr="00D806D9">
        <w:rPr>
          <w:rFonts w:asciiTheme="majorBidi" w:eastAsia="Times New Roman" w:hAnsiTheme="majorBidi" w:cstheme="majorBidi"/>
          <w:color w:val="000000"/>
          <w:sz w:val="24"/>
          <w:szCs w:val="24"/>
          <w:lang w:val="en-US" w:eastAsia="fr-FR" w:bidi="he-IL"/>
        </w:rPr>
        <w:t xml:space="preserve"> an efficient outcome. </w:t>
      </w:r>
    </w:p>
    <w:p w14:paraId="02F84AC3" w14:textId="77777777" w:rsidR="00BC0997" w:rsidRPr="00D806D9" w:rsidRDefault="00BC0997"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p>
    <w:p w14:paraId="0C7CA4C4" w14:textId="77777777" w:rsidR="00BC0997" w:rsidRPr="00D806D9" w:rsidRDefault="00BC0997"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p>
    <w:p w14:paraId="68E9016E" w14:textId="77777777" w:rsidR="00BC0997" w:rsidRPr="00D806D9" w:rsidRDefault="00BC0997"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p>
    <w:p w14:paraId="74D2409D" w14:textId="77777777" w:rsidR="00BC0997" w:rsidRPr="00D806D9" w:rsidRDefault="00BC0997"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p>
    <w:p w14:paraId="4901709C" w14:textId="77777777" w:rsidR="007B4DB9" w:rsidRPr="00D806D9" w:rsidRDefault="007B4DB9"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p>
    <w:p w14:paraId="4829C71C" w14:textId="77777777" w:rsidR="007B4DB9" w:rsidRPr="00D806D9" w:rsidRDefault="007B4DB9"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p>
    <w:p w14:paraId="5913DD15" w14:textId="4E151350" w:rsidR="00BC0997" w:rsidRPr="00D806D9" w:rsidRDefault="003F07D0" w:rsidP="00D806D9">
      <w:pPr>
        <w:spacing w:after="0" w:line="480" w:lineRule="auto"/>
        <w:ind w:firstLine="709"/>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noProof/>
          <w:color w:val="000000"/>
          <w:sz w:val="24"/>
          <w:szCs w:val="24"/>
          <w:lang w:val="en-US" w:eastAsia="fr-FR" w:bidi="he-IL"/>
        </w:rPr>
        <w:drawing>
          <wp:anchor distT="180340" distB="180340" distL="114300" distR="114300" simplePos="0" relativeHeight="251664384" behindDoc="0" locked="0" layoutInCell="1" allowOverlap="1" wp14:anchorId="7901B2CD" wp14:editId="7EC5BF87">
            <wp:simplePos x="0" y="0"/>
            <wp:positionH relativeFrom="margin">
              <wp:align>center</wp:align>
            </wp:positionH>
            <wp:positionV relativeFrom="margin">
              <wp:align>top</wp:align>
            </wp:positionV>
            <wp:extent cx="4719320" cy="3772535"/>
            <wp:effectExtent l="19050" t="19050" r="24130" b="18415"/>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19320" cy="377253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D806D9">
        <w:rPr>
          <w:rFonts w:asciiTheme="majorBidi" w:eastAsia="Times New Roman" w:hAnsiTheme="majorBidi" w:cstheme="majorBidi"/>
          <w:color w:val="000000"/>
          <w:sz w:val="24"/>
          <w:szCs w:val="24"/>
          <w:lang w:val="en-US" w:eastAsia="fr-FR" w:bidi="he-IL"/>
        </w:rPr>
        <w:t xml:space="preserve">If ETS has often been described as the most cost-effective GHGE internalizing solution, </w:t>
      </w:r>
      <w:r w:rsidR="00C01D74" w:rsidRPr="00D806D9">
        <w:rPr>
          <w:rFonts w:asciiTheme="majorBidi" w:eastAsia="Times New Roman" w:hAnsiTheme="majorBidi" w:cstheme="majorBidi"/>
          <w:color w:val="000000"/>
          <w:sz w:val="24"/>
          <w:szCs w:val="24"/>
          <w:lang w:val="en-US" w:eastAsia="fr-FR" w:bidi="he-IL"/>
        </w:rPr>
        <w:t>“there was and is by no means unanimity about the merits of emissions trading amongst the academic community” (Convery, 2009, p.398). Indeed, s</w:t>
      </w:r>
      <w:r w:rsidRPr="00D806D9">
        <w:rPr>
          <w:rFonts w:asciiTheme="majorBidi" w:eastAsia="Times New Roman" w:hAnsiTheme="majorBidi" w:cstheme="majorBidi"/>
          <w:color w:val="000000"/>
          <w:sz w:val="24"/>
          <w:szCs w:val="24"/>
          <w:lang w:val="en-US" w:eastAsia="fr-FR" w:bidi="he-IL"/>
        </w:rPr>
        <w:t xml:space="preserve">ome scholars showed that in some circumstances a Pigouvian tax on emissions could provide stronger </w:t>
      </w:r>
      <w:r w:rsidRPr="00D806D9">
        <w:rPr>
          <w:rFonts w:asciiTheme="majorBidi" w:eastAsia="Times New Roman" w:hAnsiTheme="majorBidi" w:cstheme="majorBidi"/>
          <w:sz w:val="24"/>
          <w:szCs w:val="24"/>
          <w:lang w:val="en-US" w:eastAsia="fr-FR" w:bidi="he-IL"/>
        </w:rPr>
        <w:t xml:space="preserve">incentives than other </w:t>
      </w:r>
      <w:r w:rsidR="00B95842" w:rsidRPr="00D806D9">
        <w:rPr>
          <w:rFonts w:asciiTheme="majorBidi" w:eastAsia="Times New Roman" w:hAnsiTheme="majorBidi" w:cstheme="majorBidi"/>
          <w:sz w:val="24"/>
          <w:szCs w:val="24"/>
          <w:lang w:val="en-US" w:eastAsia="fr-FR" w:bidi="he-IL"/>
        </w:rPr>
        <w:t>economic</w:t>
      </w:r>
      <w:r w:rsidRPr="00D806D9">
        <w:rPr>
          <w:rFonts w:asciiTheme="majorBidi" w:eastAsia="Times New Roman" w:hAnsiTheme="majorBidi" w:cstheme="majorBidi"/>
          <w:sz w:val="24"/>
          <w:szCs w:val="24"/>
          <w:lang w:val="en-US" w:eastAsia="fr-FR" w:bidi="he-IL"/>
        </w:rPr>
        <w:t xml:space="preserve"> instruments for abatement technology adoption (Requate &amp; Unold, 2003). </w:t>
      </w:r>
      <w:r w:rsidR="00C01D74" w:rsidRPr="00D806D9">
        <w:rPr>
          <w:rFonts w:asciiTheme="majorBidi" w:eastAsia="Times New Roman" w:hAnsiTheme="majorBidi" w:cstheme="majorBidi"/>
          <w:color w:val="000000"/>
          <w:sz w:val="24"/>
          <w:szCs w:val="24"/>
          <w:lang w:val="en-US" w:eastAsia="fr-FR" w:bidi="he-IL"/>
        </w:rPr>
        <w:t>Further, K</w:t>
      </w:r>
      <w:r w:rsidRPr="00D806D9">
        <w:rPr>
          <w:rFonts w:asciiTheme="majorBidi" w:eastAsia="Times New Roman" w:hAnsiTheme="majorBidi" w:cstheme="majorBidi"/>
          <w:color w:val="000000"/>
          <w:sz w:val="24"/>
          <w:szCs w:val="24"/>
          <w:lang w:val="en-US" w:eastAsia="fr-FR" w:bidi="he-IL"/>
        </w:rPr>
        <w:t xml:space="preserve">aplow and Shavell (2002) settled for </w:t>
      </w:r>
      <w:r w:rsidR="00BE76CA">
        <w:rPr>
          <w:rFonts w:asciiTheme="majorBidi" w:eastAsia="Times New Roman" w:hAnsiTheme="majorBidi" w:cstheme="majorBidi"/>
          <w:i/>
          <w:iCs/>
          <w:color w:val="000000"/>
          <w:sz w:val="24"/>
          <w:szCs w:val="24"/>
          <w:lang w:val="en-US" w:eastAsia="fr-FR" w:bidi="he-IL"/>
        </w:rPr>
        <w:t>ex-ante</w:t>
      </w:r>
      <w:r w:rsidRPr="00D806D9">
        <w:rPr>
          <w:rFonts w:asciiTheme="majorBidi" w:eastAsia="Times New Roman" w:hAnsiTheme="majorBidi" w:cstheme="majorBidi"/>
          <w:color w:val="000000"/>
          <w:sz w:val="24"/>
          <w:szCs w:val="24"/>
          <w:lang w:val="en-US" w:eastAsia="fr-FR" w:bidi="he-IL"/>
        </w:rPr>
        <w:t xml:space="preserve"> regulation over market-based instruments considering potential long-term damages linked to climate change risks. All in all, numerous factors </w:t>
      </w:r>
      <w:r w:rsidR="00AB3BEF">
        <w:rPr>
          <w:rFonts w:asciiTheme="majorBidi" w:eastAsia="Times New Roman" w:hAnsiTheme="majorBidi" w:cstheme="majorBidi"/>
          <w:color w:val="000000"/>
          <w:sz w:val="24"/>
          <w:szCs w:val="24"/>
          <w:lang w:val="en-US" w:eastAsia="fr-FR" w:bidi="he-IL"/>
        </w:rPr>
        <w:t>must</w:t>
      </w:r>
      <w:r w:rsidRPr="00D806D9">
        <w:rPr>
          <w:rFonts w:asciiTheme="majorBidi" w:eastAsia="Times New Roman" w:hAnsiTheme="majorBidi" w:cstheme="majorBidi"/>
          <w:color w:val="000000"/>
          <w:sz w:val="24"/>
          <w:szCs w:val="24"/>
          <w:lang w:val="en-US" w:eastAsia="fr-FR" w:bidi="he-IL"/>
        </w:rPr>
        <w:t xml:space="preserve"> be integrated</w:t>
      </w:r>
      <w:r w:rsidR="00C01D74" w:rsidRPr="00D806D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w:t>
      </w:r>
      <w:bookmarkStart w:id="1" w:name="_Hlk109900661"/>
      <w:r w:rsidRPr="00D806D9">
        <w:rPr>
          <w:rFonts w:asciiTheme="majorBidi" w:eastAsia="Times New Roman" w:hAnsiTheme="majorBidi" w:cstheme="majorBidi"/>
          <w:color w:val="000000"/>
          <w:sz w:val="24"/>
          <w:szCs w:val="24"/>
          <w:lang w:val="en-US" w:eastAsia="fr-FR" w:bidi="he-IL"/>
        </w:rPr>
        <w:t xml:space="preserve">Fischer and Newell (2008) </w:t>
      </w:r>
      <w:bookmarkEnd w:id="1"/>
      <w:r w:rsidRPr="00D806D9">
        <w:rPr>
          <w:rFonts w:asciiTheme="majorBidi" w:eastAsia="Times New Roman" w:hAnsiTheme="majorBidi" w:cstheme="majorBidi"/>
          <w:color w:val="000000"/>
          <w:sz w:val="24"/>
          <w:szCs w:val="24"/>
          <w:lang w:val="en-US" w:eastAsia="fr-FR" w:bidi="he-IL"/>
        </w:rPr>
        <w:t xml:space="preserve">noting that “an optimal portfolio of policies </w:t>
      </w:r>
      <w:r w:rsidR="00A97D78" w:rsidRPr="00D806D9">
        <w:rPr>
          <w:rFonts w:asciiTheme="majorBidi" w:eastAsia="Times New Roman" w:hAnsiTheme="majorBidi" w:cstheme="majorBidi"/>
          <w:color w:val="000000"/>
          <w:sz w:val="24"/>
          <w:szCs w:val="24"/>
          <w:lang w:val="en-US" w:eastAsia="fr-FR" w:bidi="he-IL"/>
        </w:rPr>
        <w:t xml:space="preserve">can </w:t>
      </w:r>
      <w:r w:rsidRPr="00D806D9">
        <w:rPr>
          <w:rFonts w:asciiTheme="majorBidi" w:eastAsia="Times New Roman" w:hAnsiTheme="majorBidi" w:cstheme="majorBidi"/>
          <w:color w:val="000000"/>
          <w:sz w:val="24"/>
          <w:szCs w:val="24"/>
          <w:lang w:val="en-US" w:eastAsia="fr-FR" w:bidi="he-IL"/>
        </w:rPr>
        <w:t>achieve emissions reductions at a significantly lower cost than any single policy”</w:t>
      </w:r>
      <w:r w:rsidR="000C542B" w:rsidRPr="00D806D9">
        <w:rPr>
          <w:rFonts w:asciiTheme="majorBidi" w:eastAsia="Times New Roman" w:hAnsiTheme="majorBidi" w:cstheme="majorBidi"/>
          <w:color w:val="000000"/>
          <w:sz w:val="24"/>
          <w:szCs w:val="24"/>
          <w:lang w:val="en-US" w:eastAsia="fr-FR" w:bidi="he-IL"/>
        </w:rPr>
        <w:t xml:space="preserve"> (p.144)</w:t>
      </w:r>
      <w:r w:rsidRPr="00D806D9">
        <w:rPr>
          <w:rFonts w:asciiTheme="majorBidi" w:eastAsia="Times New Roman" w:hAnsiTheme="majorBidi" w:cstheme="majorBidi"/>
          <w:color w:val="000000"/>
          <w:sz w:val="24"/>
          <w:szCs w:val="24"/>
          <w:lang w:val="en-US" w:eastAsia="fr-FR" w:bidi="he-IL"/>
        </w:rPr>
        <w:t>.</w:t>
      </w:r>
    </w:p>
    <w:p w14:paraId="29BF7FAA" w14:textId="05C84FD2" w:rsidR="00BC0997" w:rsidRPr="00D806D9" w:rsidRDefault="00BC0997" w:rsidP="00D806D9">
      <w:pPr>
        <w:spacing w:after="0" w:line="480" w:lineRule="auto"/>
        <w:jc w:val="both"/>
        <w:rPr>
          <w:rFonts w:asciiTheme="majorBidi" w:eastAsia="Times New Roman" w:hAnsiTheme="majorBidi" w:cstheme="majorBidi"/>
          <w:color w:val="000000"/>
          <w:sz w:val="24"/>
          <w:szCs w:val="24"/>
          <w:lang w:val="en-US" w:eastAsia="fr-FR" w:bidi="he-IL"/>
        </w:rPr>
      </w:pPr>
    </w:p>
    <w:p w14:paraId="70AAEC2D" w14:textId="68335FB9" w:rsidR="007B4DB9" w:rsidRPr="00D806D9" w:rsidRDefault="007B4DB9" w:rsidP="00D806D9">
      <w:pPr>
        <w:spacing w:after="0" w:line="480" w:lineRule="auto"/>
        <w:jc w:val="both"/>
        <w:rPr>
          <w:rFonts w:asciiTheme="majorBidi" w:eastAsia="Times New Roman" w:hAnsiTheme="majorBidi" w:cstheme="majorBidi"/>
          <w:color w:val="000000"/>
          <w:sz w:val="24"/>
          <w:szCs w:val="24"/>
          <w:lang w:val="en-US" w:eastAsia="fr-FR" w:bidi="he-IL"/>
        </w:rPr>
      </w:pPr>
    </w:p>
    <w:p w14:paraId="15EC3345" w14:textId="77777777" w:rsidR="007B4DB9" w:rsidRPr="00D806D9" w:rsidRDefault="007B4DB9" w:rsidP="00D806D9">
      <w:pPr>
        <w:spacing w:after="0" w:line="480" w:lineRule="auto"/>
        <w:jc w:val="both"/>
        <w:rPr>
          <w:rFonts w:asciiTheme="majorBidi" w:eastAsia="Times New Roman" w:hAnsiTheme="majorBidi" w:cstheme="majorBidi"/>
          <w:color w:val="000000"/>
          <w:sz w:val="24"/>
          <w:szCs w:val="24"/>
          <w:lang w:val="en-US" w:eastAsia="fr-FR" w:bidi="he-IL"/>
        </w:rPr>
      </w:pPr>
    </w:p>
    <w:p w14:paraId="25E87156" w14:textId="6CD41D94" w:rsidR="00BC0997" w:rsidRPr="00D806D9" w:rsidRDefault="003F07D0" w:rsidP="00D806D9">
      <w:pPr>
        <w:autoSpaceDE w:val="0"/>
        <w:autoSpaceDN w:val="0"/>
        <w:adjustRightInd w:val="0"/>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lastRenderedPageBreak/>
        <w:t>1.</w:t>
      </w:r>
      <w:r w:rsidR="00EF04AE" w:rsidRPr="00D806D9">
        <w:rPr>
          <w:rFonts w:asciiTheme="majorBidi" w:eastAsia="Times New Roman" w:hAnsiTheme="majorBidi" w:cstheme="majorBidi"/>
          <w:b/>
          <w:bCs/>
          <w:color w:val="000000"/>
          <w:sz w:val="24"/>
          <w:szCs w:val="24"/>
          <w:lang w:val="en-US" w:eastAsia="fr-FR" w:bidi="he-IL"/>
        </w:rPr>
        <w:t>2.</w:t>
      </w:r>
      <w:r w:rsidR="00EF04AE" w:rsidRPr="00D806D9">
        <w:rPr>
          <w:rFonts w:asciiTheme="majorBidi" w:eastAsia="Times New Roman" w:hAnsiTheme="majorBidi" w:cstheme="majorBidi"/>
          <w:b/>
          <w:bCs/>
          <w:color w:val="000000"/>
          <w:sz w:val="24"/>
          <w:szCs w:val="24"/>
          <w:lang w:val="en-US" w:eastAsia="fr-FR" w:bidi="he-IL"/>
        </w:rPr>
        <w:tab/>
      </w:r>
      <w:r w:rsidR="00BC35B6" w:rsidRPr="00D806D9">
        <w:rPr>
          <w:rFonts w:asciiTheme="majorBidi" w:eastAsia="Times New Roman" w:hAnsiTheme="majorBidi" w:cstheme="majorBidi"/>
          <w:b/>
          <w:bCs/>
          <w:color w:val="000000"/>
          <w:sz w:val="24"/>
          <w:szCs w:val="24"/>
          <w:lang w:val="en-US" w:eastAsia="fr-FR" w:bidi="he-IL"/>
        </w:rPr>
        <w:t xml:space="preserve">Economic </w:t>
      </w:r>
      <w:r w:rsidR="007B4DB9" w:rsidRPr="00D806D9">
        <w:rPr>
          <w:rFonts w:asciiTheme="majorBidi" w:eastAsia="Times New Roman" w:hAnsiTheme="majorBidi" w:cstheme="majorBidi"/>
          <w:b/>
          <w:bCs/>
          <w:color w:val="000000"/>
          <w:sz w:val="24"/>
          <w:szCs w:val="24"/>
          <w:lang w:val="en-US" w:eastAsia="fr-FR" w:bidi="he-IL"/>
        </w:rPr>
        <w:t>t</w:t>
      </w:r>
      <w:r w:rsidR="00BC35B6" w:rsidRPr="00D806D9">
        <w:rPr>
          <w:rFonts w:asciiTheme="majorBidi" w:eastAsia="Times New Roman" w:hAnsiTheme="majorBidi" w:cstheme="majorBidi"/>
          <w:b/>
          <w:bCs/>
          <w:color w:val="000000"/>
          <w:sz w:val="24"/>
          <w:szCs w:val="24"/>
          <w:lang w:val="en-US" w:eastAsia="fr-FR" w:bidi="he-IL"/>
        </w:rPr>
        <w:t xml:space="preserve">heories of </w:t>
      </w:r>
      <w:r w:rsidR="007B4DB9" w:rsidRPr="00D806D9">
        <w:rPr>
          <w:rFonts w:asciiTheme="majorBidi" w:eastAsia="Times New Roman" w:hAnsiTheme="majorBidi" w:cstheme="majorBidi"/>
          <w:b/>
          <w:bCs/>
          <w:color w:val="000000"/>
          <w:sz w:val="24"/>
          <w:szCs w:val="24"/>
          <w:lang w:val="en-US" w:eastAsia="fr-FR" w:bidi="he-IL"/>
        </w:rPr>
        <w:t>r</w:t>
      </w:r>
      <w:r w:rsidR="00BC35B6" w:rsidRPr="00D806D9">
        <w:rPr>
          <w:rFonts w:asciiTheme="majorBidi" w:eastAsia="Times New Roman" w:hAnsiTheme="majorBidi" w:cstheme="majorBidi"/>
          <w:b/>
          <w:bCs/>
          <w:color w:val="000000"/>
          <w:sz w:val="24"/>
          <w:szCs w:val="24"/>
          <w:lang w:val="en-US" w:eastAsia="fr-FR" w:bidi="he-IL"/>
        </w:rPr>
        <w:t xml:space="preserve">egulation and </w:t>
      </w:r>
      <w:r w:rsidR="007B4DB9" w:rsidRPr="00D806D9">
        <w:rPr>
          <w:rFonts w:asciiTheme="majorBidi" w:eastAsia="Times New Roman" w:hAnsiTheme="majorBidi" w:cstheme="majorBidi"/>
          <w:b/>
          <w:bCs/>
          <w:color w:val="000000"/>
          <w:sz w:val="24"/>
          <w:szCs w:val="24"/>
          <w:lang w:val="en-US" w:eastAsia="fr-FR" w:bidi="he-IL"/>
        </w:rPr>
        <w:t>the p</w:t>
      </w:r>
      <w:r w:rsidR="00BC35B6" w:rsidRPr="00D806D9">
        <w:rPr>
          <w:rFonts w:asciiTheme="majorBidi" w:eastAsia="Times New Roman" w:hAnsiTheme="majorBidi" w:cstheme="majorBidi"/>
          <w:b/>
          <w:bCs/>
          <w:color w:val="000000"/>
          <w:sz w:val="24"/>
          <w:szCs w:val="24"/>
          <w:lang w:val="en-US" w:eastAsia="fr-FR" w:bidi="he-IL"/>
        </w:rPr>
        <w:t xml:space="preserve">rivate </w:t>
      </w:r>
      <w:r w:rsidR="007B4DB9" w:rsidRPr="00D806D9">
        <w:rPr>
          <w:rFonts w:asciiTheme="majorBidi" w:eastAsia="Times New Roman" w:hAnsiTheme="majorBidi" w:cstheme="majorBidi"/>
          <w:b/>
          <w:bCs/>
          <w:color w:val="000000"/>
          <w:sz w:val="24"/>
          <w:szCs w:val="24"/>
          <w:lang w:val="en-US" w:eastAsia="fr-FR" w:bidi="he-IL"/>
        </w:rPr>
        <w:t>i</w:t>
      </w:r>
      <w:r w:rsidR="00BC35B6" w:rsidRPr="00D806D9">
        <w:rPr>
          <w:rFonts w:asciiTheme="majorBidi" w:eastAsia="Times New Roman" w:hAnsiTheme="majorBidi" w:cstheme="majorBidi"/>
          <w:b/>
          <w:bCs/>
          <w:color w:val="000000"/>
          <w:sz w:val="24"/>
          <w:szCs w:val="24"/>
          <w:lang w:val="en-US" w:eastAsia="fr-FR" w:bidi="he-IL"/>
        </w:rPr>
        <w:t xml:space="preserve">nterest </w:t>
      </w:r>
      <w:r w:rsidR="007B4DB9" w:rsidRPr="00D806D9">
        <w:rPr>
          <w:rFonts w:asciiTheme="majorBidi" w:eastAsia="Times New Roman" w:hAnsiTheme="majorBidi" w:cstheme="majorBidi"/>
          <w:b/>
          <w:bCs/>
          <w:color w:val="000000"/>
          <w:sz w:val="24"/>
          <w:szCs w:val="24"/>
          <w:lang w:val="en-US" w:eastAsia="fr-FR" w:bidi="he-IL"/>
        </w:rPr>
        <w:t>t</w:t>
      </w:r>
      <w:r w:rsidR="00BC35B6" w:rsidRPr="00D806D9">
        <w:rPr>
          <w:rFonts w:asciiTheme="majorBidi" w:eastAsia="Times New Roman" w:hAnsiTheme="majorBidi" w:cstheme="majorBidi"/>
          <w:b/>
          <w:bCs/>
          <w:color w:val="000000"/>
          <w:sz w:val="24"/>
          <w:szCs w:val="24"/>
          <w:lang w:val="en-US" w:eastAsia="fr-FR" w:bidi="he-IL"/>
        </w:rPr>
        <w:t>heory</w:t>
      </w:r>
    </w:p>
    <w:p w14:paraId="2F39D20A" w14:textId="77777777" w:rsidR="00BC0997" w:rsidRPr="00D806D9" w:rsidRDefault="00BC0997" w:rsidP="00D806D9">
      <w:pPr>
        <w:spacing w:after="0" w:line="480" w:lineRule="auto"/>
        <w:jc w:val="both"/>
        <w:rPr>
          <w:rFonts w:asciiTheme="majorBidi" w:eastAsia="Times New Roman" w:hAnsiTheme="majorBidi" w:cstheme="majorBidi"/>
          <w:b/>
          <w:bCs/>
          <w:color w:val="000000"/>
          <w:sz w:val="24"/>
          <w:szCs w:val="24"/>
          <w:lang w:val="en-US" w:eastAsia="fr-FR" w:bidi="he-IL"/>
        </w:rPr>
      </w:pPr>
    </w:p>
    <w:p w14:paraId="52B30180" w14:textId="7A2104BF" w:rsidR="000D7B92" w:rsidRPr="00D806D9" w:rsidRDefault="006034C4"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In this work, regulation would refer to </w:t>
      </w:r>
      <w:r w:rsidR="00BE76CA">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“employment of legal instruments for the implementation of social-economic policy objectives” (den Hertog, 2010, p.3)</w:t>
      </w:r>
      <w:r w:rsidR="008445AD" w:rsidRPr="00D806D9">
        <w:rPr>
          <w:rFonts w:asciiTheme="majorBidi" w:eastAsia="Times New Roman" w:hAnsiTheme="majorBidi" w:cstheme="majorBidi"/>
          <w:color w:val="000000"/>
          <w:sz w:val="24"/>
          <w:szCs w:val="24"/>
          <w:lang w:val="en-US" w:eastAsia="fr-FR" w:bidi="he-IL"/>
        </w:rPr>
        <w:t xml:space="preserve"> to which administrative costs are associated such as agency staff and processes, enforcement, etc.</w:t>
      </w:r>
      <w:r w:rsidR="00DF0F7C" w:rsidRPr="00D806D9">
        <w:rPr>
          <w:rFonts w:asciiTheme="majorBidi" w:eastAsia="Times New Roman" w:hAnsiTheme="majorBidi" w:cstheme="majorBidi"/>
          <w:color w:val="000000"/>
          <w:sz w:val="24"/>
          <w:szCs w:val="24"/>
          <w:lang w:val="en-US" w:eastAsia="fr-FR" w:bidi="he-IL"/>
        </w:rPr>
        <w:t xml:space="preserve"> </w:t>
      </w:r>
      <w:r w:rsidR="008445AD" w:rsidRPr="00D806D9">
        <w:rPr>
          <w:rFonts w:asciiTheme="majorBidi" w:eastAsia="Times New Roman" w:hAnsiTheme="majorBidi" w:cstheme="majorBidi"/>
          <w:color w:val="000000"/>
          <w:sz w:val="24"/>
          <w:szCs w:val="24"/>
          <w:lang w:val="en-US" w:eastAsia="fr-FR" w:bidi="he-IL"/>
        </w:rPr>
        <w:t>I</w:t>
      </w:r>
      <w:r w:rsidR="003F07D0" w:rsidRPr="00D806D9">
        <w:rPr>
          <w:rFonts w:asciiTheme="majorBidi" w:eastAsia="Times New Roman" w:hAnsiTheme="majorBidi" w:cstheme="majorBidi"/>
          <w:color w:val="000000"/>
          <w:sz w:val="24"/>
          <w:szCs w:val="24"/>
          <w:lang w:val="en-US" w:eastAsia="fr-FR" w:bidi="he-IL"/>
        </w:rPr>
        <w:t xml:space="preserve">n the </w:t>
      </w:r>
      <w:r w:rsidR="0080153C" w:rsidRPr="00D806D9">
        <w:rPr>
          <w:rFonts w:asciiTheme="majorBidi" w:eastAsia="Times New Roman" w:hAnsiTheme="majorBidi" w:cstheme="majorBidi"/>
          <w:color w:val="000000"/>
          <w:sz w:val="24"/>
          <w:szCs w:val="24"/>
          <w:lang w:val="en-US" w:eastAsia="fr-FR" w:bidi="he-IL"/>
        </w:rPr>
        <w:t>field</w:t>
      </w:r>
      <w:r w:rsidR="003F07D0" w:rsidRPr="00D806D9">
        <w:rPr>
          <w:rFonts w:asciiTheme="majorBidi" w:eastAsia="Times New Roman" w:hAnsiTheme="majorBidi" w:cstheme="majorBidi"/>
          <w:color w:val="000000"/>
          <w:sz w:val="24"/>
          <w:szCs w:val="24"/>
          <w:lang w:val="en-US" w:eastAsia="fr-FR" w:bidi="he-IL"/>
        </w:rPr>
        <w:t xml:space="preserve"> of public law, public interest theory assumes that public regulation</w:t>
      </w:r>
      <w:r w:rsidRPr="00D806D9">
        <w:rPr>
          <w:rFonts w:asciiTheme="majorBidi" w:eastAsia="Times New Roman" w:hAnsiTheme="majorBidi" w:cstheme="majorBidi"/>
          <w:color w:val="000000"/>
          <w:sz w:val="24"/>
          <w:szCs w:val="24"/>
          <w:lang w:val="en-US" w:eastAsia="fr-FR" w:bidi="he-IL"/>
        </w:rPr>
        <w:t>, the legislator</w:t>
      </w:r>
      <w:r w:rsidR="00BE76CA">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and the regulation </w:t>
      </w:r>
      <w:r w:rsidR="00BC0997" w:rsidRPr="00D806D9">
        <w:rPr>
          <w:rFonts w:asciiTheme="majorBidi" w:eastAsia="Times New Roman" w:hAnsiTheme="majorBidi" w:cstheme="majorBidi"/>
          <w:color w:val="000000"/>
          <w:sz w:val="24"/>
          <w:szCs w:val="24"/>
          <w:lang w:val="en-US" w:eastAsia="fr-FR" w:bidi="he-IL"/>
        </w:rPr>
        <w:t>agency</w:t>
      </w:r>
      <w:r w:rsidRPr="00D806D9">
        <w:rPr>
          <w:rFonts w:asciiTheme="majorBidi" w:eastAsia="Times New Roman" w:hAnsiTheme="majorBidi" w:cstheme="majorBidi"/>
          <w:color w:val="000000"/>
          <w:sz w:val="24"/>
          <w:szCs w:val="24"/>
          <w:lang w:val="en-US" w:eastAsia="fr-FR" w:bidi="he-IL"/>
        </w:rPr>
        <w:t xml:space="preserve"> </w:t>
      </w:r>
      <w:r w:rsidR="003F07D0" w:rsidRPr="00D806D9">
        <w:rPr>
          <w:rFonts w:asciiTheme="majorBidi" w:eastAsia="Times New Roman" w:hAnsiTheme="majorBidi" w:cstheme="majorBidi"/>
          <w:color w:val="000000"/>
          <w:sz w:val="24"/>
          <w:szCs w:val="24"/>
          <w:lang w:val="en-US" w:eastAsia="fr-FR" w:bidi="he-IL"/>
        </w:rPr>
        <w:t>always aim at increasing efficiency and social welfare</w:t>
      </w:r>
      <w:r w:rsidR="00113A7A" w:rsidRPr="00D806D9">
        <w:rPr>
          <w:rFonts w:asciiTheme="majorBidi" w:eastAsia="Times New Roman" w:hAnsiTheme="majorBidi" w:cstheme="majorBidi"/>
          <w:color w:val="000000"/>
          <w:sz w:val="24"/>
          <w:szCs w:val="24"/>
          <w:lang w:val="en-US" w:eastAsia="fr-FR" w:bidi="he-IL"/>
        </w:rPr>
        <w:t>. Refuting this idea,</w:t>
      </w:r>
      <w:r w:rsidR="005D6D54" w:rsidRPr="00D806D9">
        <w:rPr>
          <w:rFonts w:asciiTheme="majorBidi" w:eastAsia="Times New Roman" w:hAnsiTheme="majorBidi" w:cstheme="majorBidi"/>
          <w:color w:val="000000"/>
          <w:sz w:val="24"/>
          <w:szCs w:val="24"/>
          <w:lang w:val="en-US" w:eastAsia="fr-FR" w:bidi="he-IL"/>
        </w:rPr>
        <w:t xml:space="preserve"> </w:t>
      </w:r>
      <w:r w:rsidR="00DF0F7C" w:rsidRPr="00D806D9">
        <w:rPr>
          <w:rFonts w:asciiTheme="majorBidi" w:eastAsia="Times New Roman" w:hAnsiTheme="majorBidi" w:cstheme="majorBidi"/>
          <w:color w:val="000000"/>
          <w:sz w:val="24"/>
          <w:szCs w:val="24"/>
          <w:lang w:val="en-US" w:eastAsia="fr-FR" w:bidi="he-IL"/>
        </w:rPr>
        <w:t xml:space="preserve">the </w:t>
      </w:r>
      <w:r w:rsidR="005D6D54" w:rsidRPr="00D806D9">
        <w:rPr>
          <w:rFonts w:asciiTheme="majorBidi" w:eastAsia="Times New Roman" w:hAnsiTheme="majorBidi" w:cstheme="majorBidi"/>
          <w:color w:val="000000"/>
          <w:sz w:val="24"/>
          <w:szCs w:val="24"/>
          <w:lang w:val="en-US" w:eastAsia="fr-FR" w:bidi="he-IL"/>
        </w:rPr>
        <w:t xml:space="preserve">private </w:t>
      </w:r>
      <w:r w:rsidR="00DF0F7C" w:rsidRPr="00D806D9">
        <w:rPr>
          <w:rFonts w:asciiTheme="majorBidi" w:eastAsia="Times New Roman" w:hAnsiTheme="majorBidi" w:cstheme="majorBidi"/>
          <w:color w:val="000000"/>
          <w:sz w:val="24"/>
          <w:szCs w:val="24"/>
          <w:lang w:val="en-US" w:eastAsia="fr-FR" w:bidi="he-IL"/>
        </w:rPr>
        <w:t>interest</w:t>
      </w:r>
      <w:r w:rsidR="005D6D54" w:rsidRPr="00D806D9">
        <w:rPr>
          <w:rFonts w:asciiTheme="majorBidi" w:eastAsia="Times New Roman" w:hAnsiTheme="majorBidi" w:cstheme="majorBidi"/>
          <w:color w:val="000000"/>
          <w:sz w:val="24"/>
          <w:szCs w:val="24"/>
          <w:lang w:val="en-US" w:eastAsia="fr-FR" w:bidi="he-IL"/>
        </w:rPr>
        <w:t xml:space="preserve"> theory defends the idea that particular interests </w:t>
      </w:r>
      <w:r w:rsidR="0062066C" w:rsidRPr="00D806D9">
        <w:rPr>
          <w:rFonts w:asciiTheme="majorBidi" w:eastAsia="Times New Roman" w:hAnsiTheme="majorBidi" w:cstheme="majorBidi"/>
          <w:color w:val="000000"/>
          <w:sz w:val="24"/>
          <w:szCs w:val="24"/>
          <w:lang w:val="en-US" w:eastAsia="fr-FR" w:bidi="he-IL"/>
        </w:rPr>
        <w:t xml:space="preserve">orient the preference for regulation or will drive it </w:t>
      </w:r>
      <w:r w:rsidR="00BE76CA">
        <w:rPr>
          <w:rFonts w:asciiTheme="majorBidi" w:eastAsia="Times New Roman" w:hAnsiTheme="majorBidi" w:cstheme="majorBidi"/>
          <w:color w:val="000000"/>
          <w:sz w:val="24"/>
          <w:szCs w:val="24"/>
          <w:lang w:val="en-US" w:eastAsia="fr-FR" w:bidi="he-IL"/>
        </w:rPr>
        <w:t>over time</w:t>
      </w:r>
      <w:r w:rsidR="005D6D54" w:rsidRPr="00D806D9">
        <w:rPr>
          <w:rFonts w:asciiTheme="majorBidi" w:eastAsia="Times New Roman" w:hAnsiTheme="majorBidi" w:cstheme="majorBidi"/>
          <w:color w:val="000000"/>
          <w:sz w:val="24"/>
          <w:szCs w:val="24"/>
          <w:lang w:val="en-US" w:eastAsia="fr-FR" w:bidi="he-IL"/>
        </w:rPr>
        <w:t>. Notably,</w:t>
      </w:r>
      <w:r w:rsidR="0062066C" w:rsidRPr="00D806D9">
        <w:rPr>
          <w:rFonts w:asciiTheme="majorBidi" w:eastAsia="Times New Roman" w:hAnsiTheme="majorBidi" w:cstheme="majorBidi"/>
          <w:color w:val="000000"/>
          <w:sz w:val="24"/>
          <w:szCs w:val="24"/>
          <w:lang w:val="en-US" w:eastAsia="fr-FR" w:bidi="he-IL"/>
        </w:rPr>
        <w:t xml:space="preserve"> associated with </w:t>
      </w:r>
      <w:r w:rsidR="00BE76CA">
        <w:rPr>
          <w:rFonts w:asciiTheme="majorBidi" w:eastAsia="Times New Roman" w:hAnsiTheme="majorBidi" w:cstheme="majorBidi"/>
          <w:color w:val="000000"/>
          <w:sz w:val="24"/>
          <w:szCs w:val="24"/>
          <w:lang w:val="en-US" w:eastAsia="fr-FR" w:bidi="he-IL"/>
        </w:rPr>
        <w:t xml:space="preserve">the </w:t>
      </w:r>
      <w:r w:rsidR="0062066C" w:rsidRPr="00D806D9">
        <w:rPr>
          <w:rFonts w:asciiTheme="majorBidi" w:eastAsia="Times New Roman" w:hAnsiTheme="majorBidi" w:cstheme="majorBidi"/>
          <w:color w:val="000000"/>
          <w:sz w:val="24"/>
          <w:szCs w:val="24"/>
          <w:lang w:val="en-US" w:eastAsia="fr-FR" w:bidi="he-IL"/>
        </w:rPr>
        <w:t xml:space="preserve">redistribution of wealth, </w:t>
      </w:r>
      <w:r w:rsidR="005D6D54" w:rsidRPr="00D806D9">
        <w:rPr>
          <w:rFonts w:asciiTheme="majorBidi" w:eastAsia="Times New Roman" w:hAnsiTheme="majorBidi" w:cstheme="majorBidi"/>
          <w:color w:val="000000"/>
          <w:sz w:val="24"/>
          <w:szCs w:val="24"/>
          <w:lang w:val="en-US" w:eastAsia="fr-FR" w:bidi="he-IL"/>
        </w:rPr>
        <w:t xml:space="preserve">two </w:t>
      </w:r>
      <w:r w:rsidR="0062066C" w:rsidRPr="00D806D9">
        <w:rPr>
          <w:rFonts w:asciiTheme="majorBidi" w:eastAsia="Times New Roman" w:hAnsiTheme="majorBidi" w:cstheme="majorBidi"/>
          <w:color w:val="000000"/>
          <w:sz w:val="24"/>
          <w:szCs w:val="24"/>
          <w:lang w:val="en-US" w:eastAsia="fr-FR" w:bidi="he-IL"/>
        </w:rPr>
        <w:t>theories</w:t>
      </w:r>
      <w:r w:rsidR="005D6D54" w:rsidRPr="00D806D9">
        <w:rPr>
          <w:rFonts w:asciiTheme="majorBidi" w:eastAsia="Times New Roman" w:hAnsiTheme="majorBidi" w:cstheme="majorBidi"/>
          <w:color w:val="000000"/>
          <w:sz w:val="24"/>
          <w:szCs w:val="24"/>
          <w:lang w:val="en-US" w:eastAsia="fr-FR" w:bidi="he-IL"/>
        </w:rPr>
        <w:t xml:space="preserve"> </w:t>
      </w:r>
      <w:r w:rsidR="0062066C" w:rsidRPr="00D806D9">
        <w:rPr>
          <w:rFonts w:asciiTheme="majorBidi" w:eastAsia="Times New Roman" w:hAnsiTheme="majorBidi" w:cstheme="majorBidi"/>
          <w:color w:val="000000"/>
          <w:sz w:val="24"/>
          <w:szCs w:val="24"/>
          <w:lang w:val="en-US" w:eastAsia="fr-FR" w:bidi="he-IL"/>
        </w:rPr>
        <w:t>build on this idea</w:t>
      </w:r>
      <w:r w:rsidR="005D6D54" w:rsidRPr="00D806D9">
        <w:rPr>
          <w:rFonts w:asciiTheme="majorBidi" w:eastAsia="Times New Roman" w:hAnsiTheme="majorBidi" w:cstheme="majorBidi"/>
          <w:color w:val="000000"/>
          <w:sz w:val="24"/>
          <w:szCs w:val="24"/>
          <w:lang w:val="en-US" w:eastAsia="fr-FR" w:bidi="he-IL"/>
        </w:rPr>
        <w:t>:</w:t>
      </w:r>
      <w:r w:rsidR="00113A7A" w:rsidRPr="00D806D9">
        <w:rPr>
          <w:rFonts w:asciiTheme="majorBidi" w:eastAsia="Times New Roman" w:hAnsiTheme="majorBidi" w:cstheme="majorBidi"/>
          <w:color w:val="000000"/>
          <w:sz w:val="24"/>
          <w:szCs w:val="24"/>
          <w:lang w:val="en-US" w:eastAsia="fr-FR" w:bidi="he-IL"/>
        </w:rPr>
        <w:t xml:space="preserve"> </w:t>
      </w:r>
      <w:r w:rsidR="00BE76CA">
        <w:rPr>
          <w:rFonts w:asciiTheme="majorBidi" w:eastAsia="Times New Roman" w:hAnsiTheme="majorBidi" w:cstheme="majorBidi"/>
          <w:color w:val="000000"/>
          <w:sz w:val="24"/>
          <w:szCs w:val="24"/>
          <w:lang w:val="en-US" w:eastAsia="fr-FR" w:bidi="he-IL"/>
        </w:rPr>
        <w:t xml:space="preserve">the </w:t>
      </w:r>
      <w:r w:rsidR="0062066C" w:rsidRPr="00D806D9">
        <w:rPr>
          <w:rFonts w:asciiTheme="majorBidi" w:eastAsia="Times New Roman" w:hAnsiTheme="majorBidi" w:cstheme="majorBidi"/>
          <w:color w:val="000000"/>
          <w:sz w:val="24"/>
          <w:szCs w:val="24"/>
          <w:lang w:val="en-US" w:eastAsia="fr-FR" w:bidi="he-IL"/>
        </w:rPr>
        <w:t>public choice theory</w:t>
      </w:r>
      <w:r w:rsidR="003F07D0" w:rsidRPr="00D806D9">
        <w:rPr>
          <w:rFonts w:asciiTheme="majorBidi" w:eastAsia="Times New Roman" w:hAnsiTheme="majorBidi" w:cstheme="majorBidi"/>
          <w:color w:val="000000"/>
          <w:sz w:val="24"/>
          <w:szCs w:val="24"/>
          <w:lang w:val="en-US" w:eastAsia="fr-FR" w:bidi="he-IL"/>
        </w:rPr>
        <w:t xml:space="preserve"> </w:t>
      </w:r>
      <w:r w:rsidR="004C453C" w:rsidRPr="00D806D9">
        <w:rPr>
          <w:rFonts w:asciiTheme="majorBidi" w:eastAsia="Times New Roman" w:hAnsiTheme="majorBidi" w:cstheme="majorBidi"/>
          <w:color w:val="000000"/>
          <w:sz w:val="24"/>
          <w:szCs w:val="24"/>
          <w:lang w:val="en-US" w:eastAsia="fr-FR" w:bidi="he-IL"/>
        </w:rPr>
        <w:t xml:space="preserve">and </w:t>
      </w:r>
      <w:r w:rsidR="0062066C" w:rsidRPr="00D806D9">
        <w:rPr>
          <w:rFonts w:asciiTheme="majorBidi" w:eastAsia="Times New Roman" w:hAnsiTheme="majorBidi" w:cstheme="majorBidi"/>
          <w:color w:val="000000"/>
          <w:sz w:val="24"/>
          <w:szCs w:val="24"/>
          <w:lang w:val="en-US" w:eastAsia="fr-FR" w:bidi="he-IL"/>
        </w:rPr>
        <w:t xml:space="preserve">the </w:t>
      </w:r>
      <w:r w:rsidR="004C453C" w:rsidRPr="00D806D9">
        <w:rPr>
          <w:rFonts w:asciiTheme="majorBidi" w:eastAsia="Times New Roman" w:hAnsiTheme="majorBidi" w:cstheme="majorBidi"/>
          <w:color w:val="000000"/>
          <w:sz w:val="24"/>
          <w:szCs w:val="24"/>
          <w:lang w:val="en-US" w:eastAsia="fr-FR" w:bidi="he-IL"/>
        </w:rPr>
        <w:t>regulatory capture</w:t>
      </w:r>
      <w:r w:rsidR="0062066C" w:rsidRPr="00D806D9">
        <w:rPr>
          <w:rFonts w:asciiTheme="majorBidi" w:eastAsia="Times New Roman" w:hAnsiTheme="majorBidi" w:cstheme="majorBidi"/>
          <w:color w:val="000000"/>
          <w:sz w:val="24"/>
          <w:szCs w:val="24"/>
          <w:lang w:val="en-US" w:eastAsia="fr-FR" w:bidi="he-IL"/>
        </w:rPr>
        <w:t xml:space="preserve"> theory</w:t>
      </w:r>
      <w:r w:rsidR="004C453C" w:rsidRPr="00D806D9">
        <w:rPr>
          <w:rFonts w:asciiTheme="majorBidi" w:eastAsia="Times New Roman" w:hAnsiTheme="majorBidi" w:cstheme="majorBidi"/>
          <w:color w:val="000000"/>
          <w:sz w:val="24"/>
          <w:szCs w:val="24"/>
          <w:lang w:val="en-US" w:eastAsia="fr-FR" w:bidi="he-IL"/>
        </w:rPr>
        <w:t>.</w:t>
      </w:r>
      <w:r w:rsidR="0044734C" w:rsidRPr="00D806D9">
        <w:rPr>
          <w:rFonts w:asciiTheme="majorBidi" w:eastAsia="Times New Roman" w:hAnsiTheme="majorBidi" w:cstheme="majorBidi"/>
          <w:color w:val="000000"/>
          <w:sz w:val="24"/>
          <w:szCs w:val="24"/>
          <w:lang w:val="en-US" w:eastAsia="fr-FR" w:bidi="he-IL"/>
        </w:rPr>
        <w:t xml:space="preserve"> </w:t>
      </w:r>
    </w:p>
    <w:p w14:paraId="4D851F3E" w14:textId="48D0927A" w:rsidR="004C453C" w:rsidRPr="00D806D9" w:rsidRDefault="004C453C"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The first one </w:t>
      </w:r>
      <w:r w:rsidR="003F07D0" w:rsidRPr="00D806D9">
        <w:rPr>
          <w:rFonts w:asciiTheme="majorBidi" w:eastAsia="Times New Roman" w:hAnsiTheme="majorBidi" w:cstheme="majorBidi"/>
          <w:color w:val="000000"/>
          <w:sz w:val="24"/>
          <w:szCs w:val="24"/>
          <w:lang w:val="en-US" w:eastAsia="fr-FR" w:bidi="he-IL"/>
        </w:rPr>
        <w:t>uses microeconomics grounds to explain regulation</w:t>
      </w:r>
      <w:r w:rsidR="0063022B" w:rsidRPr="00D806D9">
        <w:rPr>
          <w:rFonts w:asciiTheme="majorBidi" w:eastAsia="Times New Roman" w:hAnsiTheme="majorBidi" w:cstheme="majorBidi"/>
          <w:color w:val="000000"/>
          <w:sz w:val="24"/>
          <w:szCs w:val="24"/>
          <w:lang w:val="en-US" w:eastAsia="fr-FR" w:bidi="he-IL"/>
        </w:rPr>
        <w:t>’s</w:t>
      </w:r>
      <w:r w:rsidR="00113A7A" w:rsidRPr="00D806D9">
        <w:rPr>
          <w:rFonts w:asciiTheme="majorBidi" w:eastAsia="Times New Roman" w:hAnsiTheme="majorBidi" w:cstheme="majorBidi"/>
          <w:color w:val="000000"/>
          <w:sz w:val="24"/>
          <w:szCs w:val="24"/>
          <w:lang w:val="en-US" w:eastAsia="fr-FR" w:bidi="he-IL"/>
        </w:rPr>
        <w:t xml:space="preserve"> origins</w:t>
      </w:r>
      <w:r w:rsidR="003F07D0" w:rsidRPr="00D806D9">
        <w:rPr>
          <w:rFonts w:asciiTheme="majorBidi" w:eastAsia="Times New Roman" w:hAnsiTheme="majorBidi" w:cstheme="majorBidi"/>
          <w:color w:val="000000"/>
          <w:sz w:val="24"/>
          <w:szCs w:val="24"/>
          <w:lang w:val="en-US" w:eastAsia="fr-FR" w:bidi="he-IL"/>
        </w:rPr>
        <w:t xml:space="preserve">. </w:t>
      </w:r>
      <w:r w:rsidR="0063022B" w:rsidRPr="00D806D9">
        <w:rPr>
          <w:rFonts w:asciiTheme="majorBidi" w:eastAsia="Times New Roman" w:hAnsiTheme="majorBidi" w:cstheme="majorBidi"/>
          <w:color w:val="000000"/>
          <w:sz w:val="24"/>
          <w:szCs w:val="24"/>
          <w:lang w:val="en-US" w:eastAsia="fr-FR" w:bidi="he-IL"/>
        </w:rPr>
        <w:t xml:space="preserve">The Virginia School of Public Choice theorized regulation as being inefficient due to rent-seeking extraction possibilities conceptualized as the spending of scarce “resources on political action […] to obtain monopoly rights or other favors granted by governments” (den Hertog, 2010, p.33). Generating a waste of resources to acquire such rights, the monopolist would </w:t>
      </w:r>
      <w:r w:rsidR="0063022B" w:rsidRPr="00D806D9">
        <w:rPr>
          <w:rFonts w:asciiTheme="majorBidi" w:eastAsia="Times New Roman" w:hAnsiTheme="majorBidi" w:cstheme="majorBidi"/>
          <w:i/>
          <w:iCs/>
          <w:color w:val="000000"/>
          <w:sz w:val="24"/>
          <w:szCs w:val="24"/>
          <w:lang w:val="en-US" w:eastAsia="fr-FR" w:bidi="he-IL"/>
        </w:rPr>
        <w:t>ex</w:t>
      </w:r>
      <w:r w:rsidR="00761A6C">
        <w:rPr>
          <w:rFonts w:asciiTheme="majorBidi" w:eastAsia="Times New Roman" w:hAnsiTheme="majorBidi" w:cstheme="majorBidi"/>
          <w:i/>
          <w:iCs/>
          <w:color w:val="000000"/>
          <w:sz w:val="24"/>
          <w:szCs w:val="24"/>
          <w:lang w:val="en-US" w:eastAsia="fr-FR" w:bidi="he-IL"/>
        </w:rPr>
        <w:t>-</w:t>
      </w:r>
      <w:r w:rsidR="0063022B" w:rsidRPr="00D806D9">
        <w:rPr>
          <w:rFonts w:asciiTheme="majorBidi" w:eastAsia="Times New Roman" w:hAnsiTheme="majorBidi" w:cstheme="majorBidi"/>
          <w:i/>
          <w:iCs/>
          <w:color w:val="000000"/>
          <w:sz w:val="24"/>
          <w:szCs w:val="24"/>
          <w:lang w:val="en-US" w:eastAsia="fr-FR" w:bidi="he-IL"/>
        </w:rPr>
        <w:t>post</w:t>
      </w:r>
      <w:r w:rsidR="0063022B" w:rsidRPr="00D806D9">
        <w:rPr>
          <w:rFonts w:asciiTheme="majorBidi" w:eastAsia="Times New Roman" w:hAnsiTheme="majorBidi" w:cstheme="majorBidi"/>
          <w:color w:val="000000"/>
          <w:sz w:val="24"/>
          <w:szCs w:val="24"/>
          <w:lang w:val="en-US" w:eastAsia="fr-FR" w:bidi="he-IL"/>
        </w:rPr>
        <w:t xml:space="preserve"> keep on </w:t>
      </w:r>
      <w:r w:rsidR="00450077" w:rsidRPr="00D806D9">
        <w:rPr>
          <w:rFonts w:asciiTheme="majorBidi" w:eastAsia="Times New Roman" w:hAnsiTheme="majorBidi" w:cstheme="majorBidi"/>
          <w:color w:val="000000"/>
          <w:sz w:val="24"/>
          <w:szCs w:val="24"/>
          <w:lang w:val="en-US" w:eastAsia="fr-FR" w:bidi="he-IL"/>
        </w:rPr>
        <w:t>producing</w:t>
      </w:r>
      <w:r w:rsidR="0063022B" w:rsidRPr="00D806D9">
        <w:rPr>
          <w:rFonts w:asciiTheme="majorBidi" w:eastAsia="Times New Roman" w:hAnsiTheme="majorBidi" w:cstheme="majorBidi"/>
          <w:color w:val="000000"/>
          <w:sz w:val="24"/>
          <w:szCs w:val="24"/>
          <w:lang w:val="en-US" w:eastAsia="fr-FR" w:bidi="he-IL"/>
        </w:rPr>
        <w:t xml:space="preserve"> some </w:t>
      </w:r>
      <w:r w:rsidR="00761A6C">
        <w:rPr>
          <w:rFonts w:asciiTheme="majorBidi" w:eastAsia="Times New Roman" w:hAnsiTheme="majorBidi" w:cstheme="majorBidi"/>
          <w:color w:val="000000"/>
          <w:sz w:val="24"/>
          <w:szCs w:val="24"/>
          <w:lang w:val="en-US" w:eastAsia="fr-FR" w:bidi="he-IL"/>
        </w:rPr>
        <w:t xml:space="preserve">waste </w:t>
      </w:r>
      <w:r w:rsidR="0063022B" w:rsidRPr="00D806D9">
        <w:rPr>
          <w:rFonts w:asciiTheme="majorBidi" w:eastAsia="Times New Roman" w:hAnsiTheme="majorBidi" w:cstheme="majorBidi"/>
          <w:color w:val="000000"/>
          <w:sz w:val="24"/>
          <w:szCs w:val="24"/>
          <w:lang w:val="en-US" w:eastAsia="fr-FR" w:bidi="he-IL"/>
        </w:rPr>
        <w:t xml:space="preserve">to protect </w:t>
      </w:r>
      <w:r w:rsidR="006645F3">
        <w:rPr>
          <w:rFonts w:asciiTheme="majorBidi" w:eastAsia="Times New Roman" w:hAnsiTheme="majorBidi" w:cstheme="majorBidi"/>
          <w:color w:val="000000"/>
          <w:sz w:val="24"/>
          <w:szCs w:val="24"/>
          <w:lang w:val="en-US" w:eastAsia="fr-FR" w:bidi="he-IL"/>
        </w:rPr>
        <w:t xml:space="preserve">the </w:t>
      </w:r>
      <w:r w:rsidR="00761A6C">
        <w:rPr>
          <w:rFonts w:asciiTheme="majorBidi" w:eastAsia="Times New Roman" w:hAnsiTheme="majorBidi" w:cstheme="majorBidi"/>
          <w:color w:val="000000"/>
          <w:sz w:val="24"/>
          <w:szCs w:val="24"/>
          <w:lang w:val="en-US" w:eastAsia="fr-FR" w:bidi="he-IL"/>
        </w:rPr>
        <w:t>rights</w:t>
      </w:r>
      <w:r w:rsidR="0063022B" w:rsidRPr="00D806D9">
        <w:rPr>
          <w:rFonts w:asciiTheme="majorBidi" w:eastAsia="Times New Roman" w:hAnsiTheme="majorBidi" w:cstheme="majorBidi"/>
          <w:color w:val="000000"/>
          <w:sz w:val="24"/>
          <w:szCs w:val="24"/>
          <w:lang w:val="en-US" w:eastAsia="fr-FR" w:bidi="he-IL"/>
        </w:rPr>
        <w:t xml:space="preserve"> newly obtained against potential competitors, </w:t>
      </w:r>
      <w:r w:rsidR="00450077" w:rsidRPr="00D806D9">
        <w:rPr>
          <w:rFonts w:asciiTheme="majorBidi" w:eastAsia="Times New Roman" w:hAnsiTheme="majorBidi" w:cstheme="majorBidi"/>
          <w:color w:val="000000"/>
          <w:sz w:val="24"/>
          <w:szCs w:val="24"/>
          <w:lang w:val="en-US" w:eastAsia="fr-FR" w:bidi="he-IL"/>
        </w:rPr>
        <w:t>in both</w:t>
      </w:r>
      <w:r w:rsidR="0063022B" w:rsidRPr="00D806D9">
        <w:rPr>
          <w:rFonts w:asciiTheme="majorBidi" w:eastAsia="Times New Roman" w:hAnsiTheme="majorBidi" w:cstheme="majorBidi"/>
          <w:color w:val="000000"/>
          <w:sz w:val="24"/>
          <w:szCs w:val="24"/>
          <w:lang w:val="en-US" w:eastAsia="fr-FR" w:bidi="he-IL"/>
        </w:rPr>
        <w:t xml:space="preserve"> way</w:t>
      </w:r>
      <w:r w:rsidR="00450077" w:rsidRPr="00D806D9">
        <w:rPr>
          <w:rFonts w:asciiTheme="majorBidi" w:eastAsia="Times New Roman" w:hAnsiTheme="majorBidi" w:cstheme="majorBidi"/>
          <w:color w:val="000000"/>
          <w:sz w:val="24"/>
          <w:szCs w:val="24"/>
          <w:lang w:val="en-US" w:eastAsia="fr-FR" w:bidi="he-IL"/>
        </w:rPr>
        <w:t>s</w:t>
      </w:r>
      <w:r w:rsidR="0063022B" w:rsidRPr="00D806D9">
        <w:rPr>
          <w:rFonts w:asciiTheme="majorBidi" w:eastAsia="Times New Roman" w:hAnsiTheme="majorBidi" w:cstheme="majorBidi"/>
          <w:color w:val="000000"/>
          <w:sz w:val="24"/>
          <w:szCs w:val="24"/>
          <w:lang w:val="en-US" w:eastAsia="fr-FR" w:bidi="he-IL"/>
        </w:rPr>
        <w:t xml:space="preserve"> harming consumers. Developing on the Chicago theories of regulation, it is</w:t>
      </w:r>
      <w:r w:rsidR="003F07D0" w:rsidRPr="00D806D9">
        <w:rPr>
          <w:rFonts w:asciiTheme="majorBidi" w:eastAsia="Times New Roman" w:hAnsiTheme="majorBidi" w:cstheme="majorBidi"/>
          <w:color w:val="000000"/>
          <w:sz w:val="24"/>
          <w:szCs w:val="24"/>
          <w:lang w:val="en-US" w:eastAsia="fr-FR" w:bidi="he-IL"/>
        </w:rPr>
        <w:t xml:space="preserve"> </w:t>
      </w:r>
      <w:r w:rsidR="001D7188" w:rsidRPr="00D806D9">
        <w:rPr>
          <w:rFonts w:asciiTheme="majorBidi" w:eastAsia="Times New Roman" w:hAnsiTheme="majorBidi" w:cstheme="majorBidi"/>
          <w:color w:val="000000"/>
          <w:sz w:val="24"/>
          <w:szCs w:val="24"/>
          <w:lang w:val="en-US" w:eastAsia="fr-FR" w:bidi="he-IL"/>
        </w:rPr>
        <w:t>from</w:t>
      </w:r>
      <w:r w:rsidR="003F07D0" w:rsidRPr="00D806D9">
        <w:rPr>
          <w:rFonts w:asciiTheme="majorBidi" w:eastAsia="Times New Roman" w:hAnsiTheme="majorBidi" w:cstheme="majorBidi"/>
          <w:color w:val="000000"/>
          <w:sz w:val="24"/>
          <w:szCs w:val="24"/>
          <w:lang w:val="en-US" w:eastAsia="fr-FR" w:bidi="he-IL"/>
        </w:rPr>
        <w:t xml:space="preserve"> this perspective seen as the result of supply and demand on the political market. Regulation is exchanged on this market against political support</w:t>
      </w:r>
      <w:r w:rsidR="000846F1">
        <w:rPr>
          <w:rFonts w:asciiTheme="majorBidi" w:eastAsia="Times New Roman" w:hAnsiTheme="majorBidi" w:cstheme="majorBidi"/>
          <w:color w:val="000000"/>
          <w:sz w:val="24"/>
          <w:szCs w:val="24"/>
          <w:lang w:val="en-US" w:eastAsia="fr-FR" w:bidi="he-IL"/>
        </w:rPr>
        <w:t>,</w:t>
      </w:r>
      <w:r w:rsidR="003F07D0" w:rsidRPr="00D806D9">
        <w:rPr>
          <w:rFonts w:asciiTheme="majorBidi" w:eastAsia="Times New Roman" w:hAnsiTheme="majorBidi" w:cstheme="majorBidi"/>
          <w:color w:val="000000"/>
          <w:sz w:val="24"/>
          <w:szCs w:val="24"/>
          <w:lang w:val="en-US" w:eastAsia="fr-FR" w:bidi="he-IL"/>
        </w:rPr>
        <w:t xml:space="preserve"> which might create a welfare transfer to the interest group. “This rent-seeking </w:t>
      </w:r>
      <w:r w:rsidR="001D7188" w:rsidRPr="00D806D9">
        <w:rPr>
          <w:rFonts w:asciiTheme="majorBidi" w:eastAsia="Times New Roman" w:hAnsiTheme="majorBidi" w:cstheme="majorBidi"/>
          <w:color w:val="000000"/>
          <w:sz w:val="24"/>
          <w:szCs w:val="24"/>
          <w:lang w:val="en-US" w:eastAsia="fr-FR" w:bidi="he-IL"/>
        </w:rPr>
        <w:t>behavior</w:t>
      </w:r>
      <w:r w:rsidR="003F07D0" w:rsidRPr="00D806D9">
        <w:rPr>
          <w:rFonts w:asciiTheme="majorBidi" w:eastAsia="Times New Roman" w:hAnsiTheme="majorBidi" w:cstheme="majorBidi"/>
          <w:color w:val="000000"/>
          <w:sz w:val="24"/>
          <w:szCs w:val="24"/>
          <w:lang w:val="en-US" w:eastAsia="fr-FR" w:bidi="he-IL"/>
        </w:rPr>
        <w:t xml:space="preserve"> will […] be especially successful if </w:t>
      </w:r>
      <w:r w:rsidR="0063022B" w:rsidRPr="00D806D9">
        <w:rPr>
          <w:rFonts w:asciiTheme="majorBidi" w:eastAsia="Times New Roman" w:hAnsiTheme="majorBidi" w:cstheme="majorBidi"/>
          <w:color w:val="000000"/>
          <w:sz w:val="24"/>
          <w:szCs w:val="24"/>
          <w:lang w:val="en-US" w:eastAsia="fr-FR" w:bidi="he-IL"/>
        </w:rPr>
        <w:t xml:space="preserve">[…] </w:t>
      </w:r>
      <w:r w:rsidR="003F07D0" w:rsidRPr="00D806D9">
        <w:rPr>
          <w:rFonts w:asciiTheme="majorBidi" w:eastAsia="Times New Roman" w:hAnsiTheme="majorBidi" w:cstheme="majorBidi"/>
          <w:color w:val="000000"/>
          <w:sz w:val="24"/>
          <w:szCs w:val="24"/>
          <w:lang w:val="en-US" w:eastAsia="fr-FR" w:bidi="he-IL"/>
        </w:rPr>
        <w:t xml:space="preserve">if the information costs incurred by the public at large to discover the </w:t>
      </w:r>
      <w:r w:rsidR="006645F3">
        <w:rPr>
          <w:rFonts w:asciiTheme="majorBidi" w:eastAsia="Times New Roman" w:hAnsiTheme="majorBidi" w:cstheme="majorBidi"/>
          <w:color w:val="000000"/>
          <w:sz w:val="24"/>
          <w:szCs w:val="24"/>
          <w:lang w:val="en-US" w:eastAsia="fr-FR" w:bidi="he-IL"/>
        </w:rPr>
        <w:t>rent-seeking</w:t>
      </w:r>
      <w:r w:rsidR="003F07D0" w:rsidRPr="00D806D9">
        <w:rPr>
          <w:rFonts w:asciiTheme="majorBidi" w:eastAsia="Times New Roman" w:hAnsiTheme="majorBidi" w:cstheme="majorBidi"/>
          <w:color w:val="000000"/>
          <w:sz w:val="24"/>
          <w:szCs w:val="24"/>
          <w:lang w:val="en-US" w:eastAsia="fr-FR" w:bidi="he-IL"/>
        </w:rPr>
        <w:t xml:space="preserve"> are relatively high.” (</w:t>
      </w:r>
      <w:r w:rsidR="000A221C" w:rsidRPr="00D806D9">
        <w:rPr>
          <w:rFonts w:asciiTheme="majorBidi" w:eastAsia="Times New Roman" w:hAnsiTheme="majorBidi" w:cstheme="majorBidi"/>
          <w:color w:val="000000"/>
          <w:sz w:val="24"/>
          <w:szCs w:val="24"/>
          <w:lang w:val="en-US" w:eastAsia="fr-FR" w:bidi="he-IL"/>
        </w:rPr>
        <w:t>Faure &amp; Partain, 2019</w:t>
      </w:r>
      <w:r w:rsidR="003F07D0" w:rsidRPr="00D806D9">
        <w:rPr>
          <w:rFonts w:asciiTheme="majorBidi" w:eastAsia="Times New Roman" w:hAnsiTheme="majorBidi" w:cstheme="majorBidi"/>
          <w:color w:val="000000"/>
          <w:sz w:val="24"/>
          <w:szCs w:val="24"/>
          <w:lang w:val="en-US" w:eastAsia="fr-FR" w:bidi="he-IL"/>
        </w:rPr>
        <w:t>, p.192)</w:t>
      </w:r>
      <w:r w:rsidR="0045324D" w:rsidRPr="00D806D9">
        <w:rPr>
          <w:rFonts w:asciiTheme="majorBidi" w:eastAsia="Times New Roman" w:hAnsiTheme="majorBidi" w:cstheme="majorBidi"/>
          <w:color w:val="000000"/>
          <w:sz w:val="24"/>
          <w:szCs w:val="24"/>
          <w:lang w:val="en-US" w:eastAsia="fr-FR" w:bidi="he-IL"/>
        </w:rPr>
        <w:t xml:space="preserve"> </w:t>
      </w:r>
    </w:p>
    <w:p w14:paraId="2E562DE4" w14:textId="0F008400" w:rsidR="00EF04AE" w:rsidRPr="00D806D9" w:rsidRDefault="00F8237B" w:rsidP="00D806D9">
      <w:pPr>
        <w:autoSpaceDE w:val="0"/>
        <w:autoSpaceDN w:val="0"/>
        <w:adjustRightInd w:val="0"/>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lastRenderedPageBreak/>
        <w:t xml:space="preserve">Secondly, the </w:t>
      </w:r>
      <w:r w:rsidRPr="00D806D9">
        <w:rPr>
          <w:rFonts w:asciiTheme="majorBidi" w:eastAsia="Times New Roman" w:hAnsiTheme="majorBidi" w:cstheme="majorBidi"/>
          <w:sz w:val="24"/>
          <w:szCs w:val="24"/>
          <w:lang w:val="en-US" w:eastAsia="fr-FR" w:bidi="he-IL"/>
        </w:rPr>
        <w:t>r</w:t>
      </w:r>
      <w:r w:rsidR="003F07D0" w:rsidRPr="00D806D9">
        <w:rPr>
          <w:rFonts w:asciiTheme="majorBidi" w:eastAsia="Times New Roman" w:hAnsiTheme="majorBidi" w:cstheme="majorBidi"/>
          <w:sz w:val="24"/>
          <w:szCs w:val="24"/>
          <w:lang w:val="en-US" w:eastAsia="fr-FR" w:bidi="he-IL"/>
        </w:rPr>
        <w:t>egulatory capture</w:t>
      </w:r>
      <w:r w:rsidRPr="00D806D9">
        <w:rPr>
          <w:rFonts w:asciiTheme="majorBidi" w:eastAsia="Times New Roman" w:hAnsiTheme="majorBidi" w:cstheme="majorBidi"/>
          <w:sz w:val="24"/>
          <w:szCs w:val="24"/>
          <w:lang w:val="en-US" w:eastAsia="fr-FR" w:bidi="he-IL"/>
        </w:rPr>
        <w:t xml:space="preserve"> theory </w:t>
      </w:r>
      <w:r w:rsidR="004C453C" w:rsidRPr="00D806D9">
        <w:rPr>
          <w:rFonts w:asciiTheme="majorBidi" w:eastAsia="Times New Roman" w:hAnsiTheme="majorBidi" w:cstheme="majorBidi"/>
          <w:sz w:val="24"/>
          <w:szCs w:val="24"/>
          <w:lang w:val="en-US" w:eastAsia="fr-FR" w:bidi="he-IL"/>
        </w:rPr>
        <w:t xml:space="preserve">describes </w:t>
      </w:r>
      <w:r w:rsidR="004C453C" w:rsidRPr="00D806D9">
        <w:rPr>
          <w:rFonts w:asciiTheme="majorBidi" w:eastAsia="Times New Roman" w:hAnsiTheme="majorBidi" w:cstheme="majorBidi"/>
          <w:color w:val="000000"/>
          <w:sz w:val="24"/>
          <w:szCs w:val="24"/>
          <w:lang w:val="en-US" w:eastAsia="fr-FR" w:bidi="he-IL"/>
        </w:rPr>
        <w:t xml:space="preserve">a </w:t>
      </w:r>
      <w:r w:rsidR="003F07D0" w:rsidRPr="00D806D9">
        <w:rPr>
          <w:rFonts w:asciiTheme="majorBidi" w:eastAsia="Times New Roman" w:hAnsiTheme="majorBidi" w:cstheme="majorBidi"/>
          <w:color w:val="000000"/>
          <w:sz w:val="24"/>
          <w:szCs w:val="24"/>
          <w:lang w:val="en-US" w:eastAsia="fr-FR" w:bidi="he-IL"/>
        </w:rPr>
        <w:t xml:space="preserve">situation </w:t>
      </w:r>
      <w:r w:rsidR="004C453C" w:rsidRPr="00D806D9">
        <w:rPr>
          <w:rFonts w:asciiTheme="majorBidi" w:eastAsia="Times New Roman" w:hAnsiTheme="majorBidi" w:cstheme="majorBidi"/>
          <w:color w:val="000000"/>
          <w:sz w:val="24"/>
          <w:szCs w:val="24"/>
          <w:lang w:val="en-US" w:eastAsia="fr-FR" w:bidi="he-IL"/>
        </w:rPr>
        <w:t>in which</w:t>
      </w:r>
      <w:r w:rsidR="003F07D0" w:rsidRPr="00D806D9">
        <w:rPr>
          <w:rFonts w:asciiTheme="majorBidi" w:eastAsia="Times New Roman" w:hAnsiTheme="majorBidi" w:cstheme="majorBidi"/>
          <w:color w:val="000000"/>
          <w:sz w:val="24"/>
          <w:szCs w:val="24"/>
          <w:lang w:val="en-US" w:eastAsia="fr-FR" w:bidi="he-IL"/>
        </w:rPr>
        <w:t xml:space="preserve"> </w:t>
      </w:r>
      <w:r w:rsidR="008445AD" w:rsidRPr="00D806D9">
        <w:rPr>
          <w:rFonts w:asciiTheme="majorBidi" w:eastAsia="Times New Roman" w:hAnsiTheme="majorBidi" w:cstheme="majorBidi"/>
          <w:color w:val="000000"/>
          <w:sz w:val="24"/>
          <w:szCs w:val="24"/>
          <w:lang w:val="en-US" w:eastAsia="fr-FR" w:bidi="he-IL"/>
        </w:rPr>
        <w:t xml:space="preserve">firms </w:t>
      </w:r>
      <w:r w:rsidR="000846F1">
        <w:rPr>
          <w:rFonts w:asciiTheme="majorBidi" w:eastAsia="Times New Roman" w:hAnsiTheme="majorBidi" w:cstheme="majorBidi"/>
          <w:color w:val="000000"/>
          <w:sz w:val="24"/>
          <w:szCs w:val="24"/>
          <w:lang w:val="en-US" w:eastAsia="fr-FR" w:bidi="he-IL"/>
        </w:rPr>
        <w:t>in</w:t>
      </w:r>
      <w:r w:rsidR="008445AD" w:rsidRPr="00D806D9">
        <w:rPr>
          <w:rFonts w:asciiTheme="majorBidi" w:eastAsia="Times New Roman" w:hAnsiTheme="majorBidi" w:cstheme="majorBidi"/>
          <w:color w:val="000000"/>
          <w:sz w:val="24"/>
          <w:szCs w:val="24"/>
          <w:lang w:val="en-US" w:eastAsia="fr-FR" w:bidi="he-IL"/>
        </w:rPr>
        <w:t xml:space="preserve"> a </w:t>
      </w:r>
      <w:r w:rsidR="002B66F5" w:rsidRPr="00D806D9">
        <w:rPr>
          <w:rFonts w:asciiTheme="majorBidi" w:eastAsia="Times New Roman" w:hAnsiTheme="majorBidi" w:cstheme="majorBidi"/>
          <w:color w:val="000000"/>
          <w:sz w:val="24"/>
          <w:szCs w:val="24"/>
          <w:lang w:val="en-US" w:eastAsia="fr-FR" w:bidi="he-IL"/>
        </w:rPr>
        <w:t>regulated sector</w:t>
      </w:r>
      <w:r w:rsidR="004C453C" w:rsidRPr="00D806D9">
        <w:rPr>
          <w:rFonts w:asciiTheme="majorBidi" w:eastAsia="Times New Roman" w:hAnsiTheme="majorBidi" w:cstheme="majorBidi"/>
          <w:color w:val="000000"/>
          <w:sz w:val="24"/>
          <w:szCs w:val="24"/>
          <w:lang w:val="en-US" w:eastAsia="fr-FR" w:bidi="he-IL"/>
        </w:rPr>
        <w:t xml:space="preserve"> manage to</w:t>
      </w:r>
      <w:r w:rsidR="003F07D0" w:rsidRPr="00D806D9">
        <w:rPr>
          <w:rFonts w:asciiTheme="majorBidi" w:eastAsia="Times New Roman" w:hAnsiTheme="majorBidi" w:cstheme="majorBidi"/>
          <w:color w:val="000000"/>
          <w:sz w:val="24"/>
          <w:szCs w:val="24"/>
          <w:lang w:val="en-US" w:eastAsia="fr-FR" w:bidi="he-IL"/>
        </w:rPr>
        <w:t xml:space="preserve"> dictate </w:t>
      </w:r>
      <w:r w:rsidR="00FD2244" w:rsidRPr="00D806D9">
        <w:rPr>
          <w:rFonts w:asciiTheme="majorBidi" w:eastAsia="Times New Roman" w:hAnsiTheme="majorBidi" w:cstheme="majorBidi"/>
          <w:color w:val="000000"/>
          <w:sz w:val="24"/>
          <w:szCs w:val="24"/>
          <w:lang w:val="en-US" w:eastAsia="fr-FR" w:bidi="he-IL"/>
        </w:rPr>
        <w:t>the</w:t>
      </w:r>
      <w:r w:rsidR="008445AD" w:rsidRPr="00D806D9">
        <w:rPr>
          <w:rFonts w:asciiTheme="majorBidi" w:eastAsia="Times New Roman" w:hAnsiTheme="majorBidi" w:cstheme="majorBidi"/>
          <w:color w:val="000000"/>
          <w:sz w:val="24"/>
          <w:szCs w:val="24"/>
          <w:lang w:val="en-US" w:eastAsia="fr-FR" w:bidi="he-IL"/>
        </w:rPr>
        <w:t xml:space="preserve"> regulation agency its</w:t>
      </w:r>
      <w:r w:rsidR="003F07D0" w:rsidRPr="00D806D9">
        <w:rPr>
          <w:rFonts w:asciiTheme="majorBidi" w:eastAsia="Times New Roman" w:hAnsiTheme="majorBidi" w:cstheme="majorBidi"/>
          <w:color w:val="000000"/>
          <w:sz w:val="24"/>
          <w:szCs w:val="24"/>
          <w:lang w:val="en-US" w:eastAsia="fr-FR" w:bidi="he-IL"/>
        </w:rPr>
        <w:t xml:space="preserve"> purposes</w:t>
      </w:r>
      <w:r w:rsidR="00FD2244" w:rsidRPr="00D806D9">
        <w:rPr>
          <w:rFonts w:asciiTheme="majorBidi" w:eastAsia="Times New Roman" w:hAnsiTheme="majorBidi" w:cstheme="majorBidi"/>
          <w:color w:val="000000"/>
          <w:sz w:val="24"/>
          <w:szCs w:val="24"/>
          <w:lang w:val="en-US" w:eastAsia="fr-FR" w:bidi="he-IL"/>
        </w:rPr>
        <w:t xml:space="preserve"> (Stigler, 1971)</w:t>
      </w:r>
      <w:r w:rsidR="008445AD" w:rsidRPr="00D806D9">
        <w:rPr>
          <w:rFonts w:asciiTheme="majorBidi" w:eastAsia="Times New Roman" w:hAnsiTheme="majorBidi" w:cstheme="majorBidi"/>
          <w:color w:val="000000"/>
          <w:sz w:val="24"/>
          <w:szCs w:val="24"/>
          <w:lang w:val="en-US" w:eastAsia="fr-FR" w:bidi="he-IL"/>
        </w:rPr>
        <w:t>,</w:t>
      </w:r>
      <w:r w:rsidR="004C453C" w:rsidRPr="00D806D9">
        <w:rPr>
          <w:rFonts w:asciiTheme="majorBidi" w:eastAsia="Times New Roman" w:hAnsiTheme="majorBidi" w:cstheme="majorBidi"/>
          <w:color w:val="000000"/>
          <w:sz w:val="24"/>
          <w:szCs w:val="24"/>
          <w:lang w:val="en-US" w:eastAsia="fr-FR" w:bidi="he-IL"/>
        </w:rPr>
        <w:t xml:space="preserve"> </w:t>
      </w:r>
      <w:r w:rsidR="003F07D0" w:rsidRPr="00D806D9">
        <w:rPr>
          <w:rFonts w:asciiTheme="majorBidi" w:eastAsia="Times New Roman" w:hAnsiTheme="majorBidi" w:cstheme="majorBidi"/>
          <w:color w:val="000000"/>
          <w:sz w:val="24"/>
          <w:szCs w:val="24"/>
          <w:lang w:val="en-US" w:eastAsia="fr-FR" w:bidi="he-IL"/>
        </w:rPr>
        <w:t>in some circumstances render</w:t>
      </w:r>
      <w:r w:rsidR="004C453C" w:rsidRPr="00D806D9">
        <w:rPr>
          <w:rFonts w:asciiTheme="majorBidi" w:eastAsia="Times New Roman" w:hAnsiTheme="majorBidi" w:cstheme="majorBidi"/>
          <w:color w:val="000000"/>
          <w:sz w:val="24"/>
          <w:szCs w:val="24"/>
          <w:lang w:val="en-US" w:eastAsia="fr-FR" w:bidi="he-IL"/>
        </w:rPr>
        <w:t>ing</w:t>
      </w:r>
      <w:r w:rsidR="003F07D0" w:rsidRPr="00D806D9">
        <w:rPr>
          <w:rFonts w:asciiTheme="majorBidi" w:eastAsia="Times New Roman" w:hAnsiTheme="majorBidi" w:cstheme="majorBidi"/>
          <w:color w:val="000000"/>
          <w:sz w:val="24"/>
          <w:szCs w:val="24"/>
          <w:lang w:val="en-US" w:eastAsia="fr-FR" w:bidi="he-IL"/>
        </w:rPr>
        <w:t xml:space="preserve"> regulation ineffective</w:t>
      </w:r>
      <w:r w:rsidR="002B66F5" w:rsidRPr="00D806D9">
        <w:rPr>
          <w:rFonts w:asciiTheme="majorBidi" w:eastAsia="Times New Roman" w:hAnsiTheme="majorBidi" w:cstheme="majorBidi"/>
          <w:color w:val="000000"/>
          <w:sz w:val="24"/>
          <w:szCs w:val="24"/>
          <w:lang w:val="en-US" w:eastAsia="fr-FR" w:bidi="he-IL"/>
        </w:rPr>
        <w:t>. This problem arises</w:t>
      </w:r>
      <w:r w:rsidRPr="00D806D9">
        <w:rPr>
          <w:rFonts w:asciiTheme="majorBidi" w:eastAsia="Times New Roman" w:hAnsiTheme="majorBidi" w:cstheme="majorBidi"/>
          <w:color w:val="000000"/>
          <w:sz w:val="24"/>
          <w:szCs w:val="24"/>
          <w:lang w:val="en-US" w:eastAsia="fr-FR" w:bidi="he-IL"/>
        </w:rPr>
        <w:t xml:space="preserve"> due to a tradeoff between independence and accountability </w:t>
      </w:r>
      <w:r w:rsidR="002B66F5" w:rsidRPr="00D806D9">
        <w:rPr>
          <w:rFonts w:asciiTheme="majorBidi" w:eastAsia="Times New Roman" w:hAnsiTheme="majorBidi" w:cstheme="majorBidi"/>
          <w:color w:val="000000"/>
          <w:sz w:val="24"/>
          <w:szCs w:val="24"/>
          <w:lang w:val="en-US" w:eastAsia="fr-FR" w:bidi="he-IL"/>
        </w:rPr>
        <w:t xml:space="preserve">between politicians </w:t>
      </w:r>
      <w:r w:rsidR="008445AD" w:rsidRPr="00D806D9">
        <w:rPr>
          <w:rFonts w:asciiTheme="majorBidi" w:eastAsia="Times New Roman" w:hAnsiTheme="majorBidi" w:cstheme="majorBidi"/>
          <w:color w:val="000000"/>
          <w:sz w:val="24"/>
          <w:szCs w:val="24"/>
          <w:lang w:val="en-US" w:eastAsia="fr-FR" w:bidi="he-IL"/>
        </w:rPr>
        <w:t xml:space="preserve">and </w:t>
      </w:r>
      <w:r w:rsidR="00450077" w:rsidRPr="00D806D9">
        <w:rPr>
          <w:rFonts w:asciiTheme="majorBidi" w:eastAsia="Times New Roman" w:hAnsiTheme="majorBidi" w:cstheme="majorBidi"/>
          <w:color w:val="000000"/>
          <w:sz w:val="24"/>
          <w:szCs w:val="24"/>
          <w:lang w:val="en-US" w:eastAsia="fr-FR" w:bidi="he-IL"/>
        </w:rPr>
        <w:t>the regulation agency</w:t>
      </w:r>
      <w:r w:rsidR="008445AD" w:rsidRPr="00D806D9">
        <w:rPr>
          <w:rFonts w:asciiTheme="majorBidi" w:eastAsia="Times New Roman" w:hAnsiTheme="majorBidi" w:cstheme="majorBidi"/>
          <w:color w:val="000000"/>
          <w:sz w:val="24"/>
          <w:szCs w:val="24"/>
          <w:lang w:val="en-US" w:eastAsia="fr-FR" w:bidi="he-IL"/>
        </w:rPr>
        <w:t xml:space="preserve"> (</w:t>
      </w:r>
      <w:proofErr w:type="spellStart"/>
      <w:r w:rsidR="008445AD" w:rsidRPr="00D806D9">
        <w:rPr>
          <w:rFonts w:asciiTheme="majorBidi" w:eastAsia="Times New Roman" w:hAnsiTheme="majorBidi" w:cstheme="majorBidi"/>
          <w:color w:val="000000"/>
          <w:sz w:val="24"/>
          <w:szCs w:val="24"/>
          <w:lang w:val="en-US" w:eastAsia="fr-FR" w:bidi="he-IL"/>
        </w:rPr>
        <w:t>Maskin</w:t>
      </w:r>
      <w:proofErr w:type="spellEnd"/>
      <w:r w:rsidR="008445AD" w:rsidRPr="00D806D9">
        <w:rPr>
          <w:rFonts w:asciiTheme="majorBidi" w:eastAsia="Times New Roman" w:hAnsiTheme="majorBidi" w:cstheme="majorBidi"/>
          <w:color w:val="000000"/>
          <w:sz w:val="24"/>
          <w:szCs w:val="24"/>
          <w:lang w:val="en-US" w:eastAsia="fr-FR" w:bidi="he-IL"/>
        </w:rPr>
        <w:t xml:space="preserve"> and </w:t>
      </w:r>
      <w:proofErr w:type="spellStart"/>
      <w:r w:rsidR="008445AD" w:rsidRPr="00D806D9">
        <w:rPr>
          <w:rFonts w:asciiTheme="majorBidi" w:eastAsia="Times New Roman" w:hAnsiTheme="majorBidi" w:cstheme="majorBidi"/>
          <w:color w:val="000000"/>
          <w:sz w:val="24"/>
          <w:szCs w:val="24"/>
          <w:lang w:val="en-US" w:eastAsia="fr-FR" w:bidi="he-IL"/>
        </w:rPr>
        <w:t>Tirole</w:t>
      </w:r>
      <w:proofErr w:type="spellEnd"/>
      <w:r w:rsidR="008445AD" w:rsidRPr="00D806D9">
        <w:rPr>
          <w:rFonts w:asciiTheme="majorBidi" w:eastAsia="Times New Roman" w:hAnsiTheme="majorBidi" w:cstheme="majorBidi"/>
          <w:color w:val="000000"/>
          <w:sz w:val="24"/>
          <w:szCs w:val="24"/>
          <w:lang w:val="en-US" w:eastAsia="fr-FR" w:bidi="he-IL"/>
        </w:rPr>
        <w:t>, 2004)</w:t>
      </w:r>
      <w:r w:rsidR="00450077" w:rsidRPr="00D806D9">
        <w:rPr>
          <w:rFonts w:asciiTheme="majorBidi" w:eastAsia="Times New Roman" w:hAnsiTheme="majorBidi" w:cstheme="majorBidi"/>
          <w:color w:val="000000"/>
          <w:sz w:val="24"/>
          <w:szCs w:val="24"/>
          <w:lang w:val="en-US" w:eastAsia="fr-FR" w:bidi="he-IL"/>
        </w:rPr>
        <w:t>. The</w:t>
      </w:r>
      <w:r w:rsidR="002B66F5" w:rsidRPr="00D806D9">
        <w:rPr>
          <w:rFonts w:asciiTheme="majorBidi" w:eastAsia="Times New Roman" w:hAnsiTheme="majorBidi" w:cstheme="majorBidi"/>
          <w:color w:val="000000"/>
          <w:sz w:val="24"/>
          <w:szCs w:val="24"/>
          <w:lang w:val="en-US" w:eastAsia="fr-FR" w:bidi="he-IL"/>
        </w:rPr>
        <w:t xml:space="preserve"> latter </w:t>
      </w:r>
      <w:r w:rsidR="00450077" w:rsidRPr="00D806D9">
        <w:rPr>
          <w:rFonts w:asciiTheme="majorBidi" w:eastAsia="Times New Roman" w:hAnsiTheme="majorBidi" w:cstheme="majorBidi"/>
          <w:color w:val="000000"/>
          <w:sz w:val="24"/>
          <w:szCs w:val="24"/>
          <w:lang w:val="en-US" w:eastAsia="fr-FR" w:bidi="he-IL"/>
        </w:rPr>
        <w:t>benefits from</w:t>
      </w:r>
      <w:r w:rsidR="002B66F5" w:rsidRPr="00D806D9">
        <w:rPr>
          <w:rFonts w:asciiTheme="majorBidi" w:eastAsia="Times New Roman" w:hAnsiTheme="majorBidi" w:cstheme="majorBidi"/>
          <w:color w:val="000000"/>
          <w:sz w:val="24"/>
          <w:szCs w:val="24"/>
          <w:lang w:val="en-US" w:eastAsia="fr-FR" w:bidi="he-IL"/>
        </w:rPr>
        <w:t xml:space="preserve"> </w:t>
      </w:r>
      <w:r w:rsidR="006645F3">
        <w:rPr>
          <w:rFonts w:asciiTheme="majorBidi" w:eastAsia="Times New Roman" w:hAnsiTheme="majorBidi" w:cstheme="majorBidi"/>
          <w:color w:val="000000"/>
          <w:sz w:val="24"/>
          <w:szCs w:val="24"/>
          <w:lang w:val="en-US" w:eastAsia="fr-FR" w:bidi="he-IL"/>
        </w:rPr>
        <w:t xml:space="preserve">the </w:t>
      </w:r>
      <w:r w:rsidR="002B66F5" w:rsidRPr="00D806D9">
        <w:rPr>
          <w:rFonts w:asciiTheme="majorBidi" w:eastAsia="Times New Roman" w:hAnsiTheme="majorBidi" w:cstheme="majorBidi"/>
          <w:color w:val="000000"/>
          <w:sz w:val="24"/>
          <w:szCs w:val="24"/>
          <w:lang w:val="en-US" w:eastAsia="fr-FR" w:bidi="he-IL"/>
        </w:rPr>
        <w:t xml:space="preserve">resources </w:t>
      </w:r>
      <w:r w:rsidR="00450077" w:rsidRPr="00D806D9">
        <w:rPr>
          <w:rFonts w:asciiTheme="majorBidi" w:eastAsia="Times New Roman" w:hAnsiTheme="majorBidi" w:cstheme="majorBidi"/>
          <w:color w:val="000000"/>
          <w:sz w:val="24"/>
          <w:szCs w:val="24"/>
          <w:lang w:val="en-US" w:eastAsia="fr-FR" w:bidi="he-IL"/>
        </w:rPr>
        <w:t>it has at</w:t>
      </w:r>
      <w:r w:rsidR="002B66F5" w:rsidRPr="00D806D9">
        <w:rPr>
          <w:rFonts w:asciiTheme="majorBidi" w:eastAsia="Times New Roman" w:hAnsiTheme="majorBidi" w:cstheme="majorBidi"/>
          <w:color w:val="000000"/>
          <w:sz w:val="24"/>
          <w:szCs w:val="24"/>
          <w:lang w:val="en-US" w:eastAsia="fr-FR" w:bidi="he-IL"/>
        </w:rPr>
        <w:t xml:space="preserve"> its disposal</w:t>
      </w:r>
      <w:r w:rsidR="00450077" w:rsidRPr="00D806D9">
        <w:rPr>
          <w:rFonts w:asciiTheme="majorBidi" w:eastAsia="Times New Roman" w:hAnsiTheme="majorBidi" w:cstheme="majorBidi"/>
          <w:color w:val="000000"/>
          <w:sz w:val="24"/>
          <w:szCs w:val="24"/>
          <w:lang w:val="en-US" w:eastAsia="fr-FR" w:bidi="he-IL"/>
        </w:rPr>
        <w:t xml:space="preserve"> to monitor and control </w:t>
      </w:r>
      <w:r w:rsidR="00430213" w:rsidRPr="00D806D9">
        <w:rPr>
          <w:rFonts w:asciiTheme="majorBidi" w:eastAsia="Times New Roman" w:hAnsiTheme="majorBidi" w:cstheme="majorBidi"/>
          <w:color w:val="000000"/>
          <w:sz w:val="24"/>
          <w:szCs w:val="24"/>
          <w:lang w:val="en-US" w:eastAsia="fr-FR" w:bidi="he-IL"/>
        </w:rPr>
        <w:t>the regulated sector or activity</w:t>
      </w:r>
      <w:r w:rsidR="000846F1">
        <w:rPr>
          <w:rFonts w:asciiTheme="majorBidi" w:eastAsia="Times New Roman" w:hAnsiTheme="majorBidi" w:cstheme="majorBidi"/>
          <w:color w:val="000000"/>
          <w:sz w:val="24"/>
          <w:szCs w:val="24"/>
          <w:lang w:val="en-US" w:eastAsia="fr-FR" w:bidi="he-IL"/>
        </w:rPr>
        <w:t>,</w:t>
      </w:r>
      <w:r w:rsidR="00450077" w:rsidRPr="00D806D9">
        <w:rPr>
          <w:rFonts w:asciiTheme="majorBidi" w:eastAsia="Times New Roman" w:hAnsiTheme="majorBidi" w:cstheme="majorBidi"/>
          <w:color w:val="000000"/>
          <w:sz w:val="24"/>
          <w:szCs w:val="24"/>
          <w:lang w:val="en-US" w:eastAsia="fr-FR" w:bidi="he-IL"/>
        </w:rPr>
        <w:t xml:space="preserve"> but does not necessarily act benevolently</w:t>
      </w:r>
      <w:r w:rsidRPr="00D806D9">
        <w:rPr>
          <w:rFonts w:asciiTheme="majorBidi" w:eastAsia="Times New Roman" w:hAnsiTheme="majorBidi" w:cstheme="majorBidi"/>
          <w:color w:val="000000"/>
          <w:sz w:val="24"/>
          <w:szCs w:val="24"/>
          <w:lang w:val="en-US" w:eastAsia="fr-FR" w:bidi="he-IL"/>
        </w:rPr>
        <w:t>.</w:t>
      </w:r>
      <w:r w:rsidR="004C453C" w:rsidRPr="00D806D9">
        <w:rPr>
          <w:rFonts w:asciiTheme="majorBidi" w:eastAsia="Times New Roman" w:hAnsiTheme="majorBidi" w:cstheme="majorBidi"/>
          <w:color w:val="000000"/>
          <w:sz w:val="24"/>
          <w:szCs w:val="24"/>
          <w:lang w:val="en-US" w:eastAsia="fr-FR" w:bidi="he-IL"/>
        </w:rPr>
        <w:t xml:space="preserve"> Two different regulatory captures have been </w:t>
      </w:r>
      <w:r w:rsidR="00637E64" w:rsidRPr="00D806D9">
        <w:rPr>
          <w:rFonts w:asciiTheme="majorBidi" w:eastAsia="Times New Roman" w:hAnsiTheme="majorBidi" w:cstheme="majorBidi"/>
          <w:color w:val="000000"/>
          <w:sz w:val="24"/>
          <w:szCs w:val="24"/>
          <w:lang w:val="en-US" w:eastAsia="fr-FR" w:bidi="he-IL"/>
        </w:rPr>
        <w:t>theorized</w:t>
      </w:r>
      <w:r w:rsidR="00430213" w:rsidRPr="00D806D9">
        <w:rPr>
          <w:rFonts w:asciiTheme="majorBidi" w:eastAsia="Times New Roman" w:hAnsiTheme="majorBidi" w:cstheme="majorBidi"/>
          <w:color w:val="000000"/>
          <w:sz w:val="24"/>
          <w:szCs w:val="24"/>
          <w:lang w:val="en-US" w:eastAsia="fr-FR" w:bidi="he-IL"/>
        </w:rPr>
        <w:t>: material</w:t>
      </w:r>
      <w:r w:rsidR="00FD2244" w:rsidRPr="00D806D9">
        <w:rPr>
          <w:rFonts w:asciiTheme="majorBidi" w:eastAsia="Times New Roman" w:hAnsiTheme="majorBidi" w:cstheme="majorBidi"/>
          <w:color w:val="000000"/>
          <w:sz w:val="24"/>
          <w:szCs w:val="24"/>
          <w:lang w:val="en-US" w:eastAsia="fr-FR" w:bidi="he-IL"/>
        </w:rPr>
        <w:t>istic (or financial) and non-materialistic (or cultural)</w:t>
      </w:r>
      <w:r w:rsidR="00637E64" w:rsidRPr="00D806D9">
        <w:rPr>
          <w:rFonts w:asciiTheme="majorBidi" w:eastAsia="Times New Roman" w:hAnsiTheme="majorBidi" w:cstheme="majorBidi"/>
          <w:color w:val="000000"/>
          <w:sz w:val="24"/>
          <w:szCs w:val="24"/>
          <w:lang w:val="en-US" w:eastAsia="fr-FR" w:bidi="he-IL"/>
        </w:rPr>
        <w:t>, t</w:t>
      </w:r>
      <w:r w:rsidR="00FD2244" w:rsidRPr="00D806D9">
        <w:rPr>
          <w:rFonts w:asciiTheme="majorBidi" w:eastAsia="Times New Roman" w:hAnsiTheme="majorBidi" w:cstheme="majorBidi"/>
          <w:color w:val="000000"/>
          <w:sz w:val="24"/>
          <w:szCs w:val="24"/>
          <w:lang w:val="en-US" w:eastAsia="fr-FR" w:bidi="he-IL"/>
        </w:rPr>
        <w:t>he first</w:t>
      </w:r>
      <w:r w:rsidR="00637E64" w:rsidRPr="00D806D9">
        <w:rPr>
          <w:rFonts w:asciiTheme="majorBidi" w:eastAsia="Times New Roman" w:hAnsiTheme="majorBidi" w:cstheme="majorBidi"/>
          <w:color w:val="000000"/>
          <w:sz w:val="24"/>
          <w:szCs w:val="24"/>
          <w:lang w:val="en-US" w:eastAsia="fr-FR" w:bidi="he-IL"/>
        </w:rPr>
        <w:t xml:space="preserve"> one referring to monetary advantages affecting the proper regulatory operations, potentially relating to illegal activities, the second concerning the “creeping colonization of ideas” (Engstrom, 2013</w:t>
      </w:r>
      <w:r w:rsidR="008D290D" w:rsidRPr="00D806D9">
        <w:rPr>
          <w:rFonts w:asciiTheme="majorBidi" w:eastAsia="Times New Roman" w:hAnsiTheme="majorBidi" w:cstheme="majorBidi"/>
          <w:color w:val="000000"/>
          <w:sz w:val="24"/>
          <w:szCs w:val="24"/>
          <w:lang w:val="en-US" w:eastAsia="fr-FR" w:bidi="he-IL"/>
        </w:rPr>
        <w:t>, p.32</w:t>
      </w:r>
      <w:r w:rsidR="00637E64" w:rsidRPr="00D806D9">
        <w:rPr>
          <w:rFonts w:asciiTheme="majorBidi" w:eastAsia="Times New Roman" w:hAnsiTheme="majorBidi" w:cstheme="majorBidi"/>
          <w:color w:val="000000"/>
          <w:sz w:val="24"/>
          <w:szCs w:val="24"/>
          <w:lang w:val="en-US" w:eastAsia="fr-FR" w:bidi="he-IL"/>
        </w:rPr>
        <w:t>). Both capture risks can be mitigated through g</w:t>
      </w:r>
      <w:r w:rsidR="003F07D0" w:rsidRPr="00D806D9">
        <w:rPr>
          <w:rFonts w:asciiTheme="majorBidi" w:eastAsia="Times New Roman" w:hAnsiTheme="majorBidi" w:cstheme="majorBidi"/>
          <w:color w:val="000000"/>
          <w:sz w:val="24"/>
          <w:szCs w:val="24"/>
          <w:lang w:val="en-US" w:eastAsia="fr-FR" w:bidi="he-IL"/>
        </w:rPr>
        <w:t>overnance design and a high degree of institutional transparency</w:t>
      </w:r>
      <w:r w:rsidR="00637E64" w:rsidRPr="00D806D9">
        <w:rPr>
          <w:rFonts w:asciiTheme="majorBidi" w:eastAsia="Times New Roman" w:hAnsiTheme="majorBidi" w:cstheme="majorBidi"/>
          <w:color w:val="000000"/>
          <w:sz w:val="24"/>
          <w:szCs w:val="24"/>
          <w:lang w:val="en-US" w:eastAsia="fr-FR" w:bidi="he-IL"/>
        </w:rPr>
        <w:t xml:space="preserve"> among other elements.</w:t>
      </w:r>
      <w:r w:rsidR="00D1059B" w:rsidRPr="00D806D9">
        <w:rPr>
          <w:rFonts w:asciiTheme="majorBidi" w:eastAsia="Times New Roman" w:hAnsiTheme="majorBidi" w:cstheme="majorBidi"/>
          <w:color w:val="000000"/>
          <w:sz w:val="24"/>
          <w:szCs w:val="24"/>
          <w:lang w:val="en-US" w:eastAsia="fr-FR" w:bidi="he-IL"/>
        </w:rPr>
        <w:t xml:space="preserve"> </w:t>
      </w:r>
      <w:r w:rsidR="00BA468A" w:rsidRPr="00D806D9">
        <w:rPr>
          <w:rFonts w:asciiTheme="majorBidi" w:eastAsia="Times New Roman" w:hAnsiTheme="majorBidi" w:cstheme="majorBidi"/>
          <w:color w:val="000000"/>
          <w:sz w:val="24"/>
          <w:szCs w:val="24"/>
          <w:lang w:val="en-US" w:eastAsia="fr-FR" w:bidi="he-IL"/>
        </w:rPr>
        <w:t xml:space="preserve">To </w:t>
      </w:r>
      <w:r w:rsidR="0043651B" w:rsidRPr="00D806D9">
        <w:rPr>
          <w:rFonts w:asciiTheme="majorBidi" w:eastAsia="Times New Roman" w:hAnsiTheme="majorBidi" w:cstheme="majorBidi"/>
          <w:color w:val="000000"/>
          <w:sz w:val="24"/>
          <w:szCs w:val="24"/>
          <w:lang w:val="en-US" w:eastAsia="fr-FR" w:bidi="he-IL"/>
        </w:rPr>
        <w:t>understand</w:t>
      </w:r>
      <w:r w:rsidR="00BA468A" w:rsidRPr="00D806D9">
        <w:rPr>
          <w:rFonts w:asciiTheme="majorBidi" w:eastAsia="Times New Roman" w:hAnsiTheme="majorBidi" w:cstheme="majorBidi"/>
          <w:color w:val="000000"/>
          <w:sz w:val="24"/>
          <w:szCs w:val="24"/>
          <w:lang w:val="en-US" w:eastAsia="fr-FR" w:bidi="he-IL"/>
        </w:rPr>
        <w:t xml:space="preserve"> </w:t>
      </w:r>
      <w:proofErr w:type="spellStart"/>
      <w:r w:rsidR="006645F3">
        <w:rPr>
          <w:rFonts w:asciiTheme="majorBidi" w:eastAsia="Times New Roman" w:hAnsiTheme="majorBidi" w:cstheme="majorBidi"/>
          <w:color w:val="000000"/>
          <w:sz w:val="24"/>
          <w:szCs w:val="24"/>
          <w:lang w:val="en-US" w:eastAsia="fr-FR" w:bidi="he-IL"/>
        </w:rPr>
        <w:t>CCfD’s</w:t>
      </w:r>
      <w:proofErr w:type="spellEnd"/>
      <w:r w:rsidR="00BA468A" w:rsidRPr="00D806D9">
        <w:rPr>
          <w:rFonts w:asciiTheme="majorBidi" w:eastAsia="Times New Roman" w:hAnsiTheme="majorBidi" w:cstheme="majorBidi"/>
          <w:color w:val="000000"/>
          <w:sz w:val="24"/>
          <w:szCs w:val="24"/>
          <w:lang w:val="en-US" w:eastAsia="fr-FR" w:bidi="he-IL"/>
        </w:rPr>
        <w:t xml:space="preserve"> potential for LCH development and GHGE reduction, </w:t>
      </w:r>
      <w:r w:rsidR="00D1059B" w:rsidRPr="00D806D9">
        <w:rPr>
          <w:rFonts w:asciiTheme="majorBidi" w:eastAsia="Times New Roman" w:hAnsiTheme="majorBidi" w:cstheme="majorBidi"/>
          <w:color w:val="000000"/>
          <w:sz w:val="24"/>
          <w:szCs w:val="24"/>
          <w:lang w:val="en-US" w:eastAsia="fr-FR" w:bidi="he-IL"/>
        </w:rPr>
        <w:t>the next section</w:t>
      </w:r>
      <w:r w:rsidR="00BA468A" w:rsidRPr="00D806D9">
        <w:rPr>
          <w:rFonts w:asciiTheme="majorBidi" w:eastAsia="Times New Roman" w:hAnsiTheme="majorBidi" w:cstheme="majorBidi"/>
          <w:color w:val="000000"/>
          <w:sz w:val="24"/>
          <w:szCs w:val="24"/>
          <w:lang w:val="en-US" w:eastAsia="fr-FR" w:bidi="he-IL"/>
        </w:rPr>
        <w:t xml:space="preserve"> will </w:t>
      </w:r>
      <w:r w:rsidR="0043255A" w:rsidRPr="00D806D9">
        <w:rPr>
          <w:rFonts w:asciiTheme="majorBidi" w:eastAsia="Times New Roman" w:hAnsiTheme="majorBidi" w:cstheme="majorBidi"/>
          <w:color w:val="000000"/>
          <w:sz w:val="24"/>
          <w:szCs w:val="24"/>
          <w:lang w:val="en-US" w:eastAsia="fr-FR" w:bidi="he-IL"/>
        </w:rPr>
        <w:t xml:space="preserve">assess </w:t>
      </w:r>
      <w:r w:rsidR="0043651B" w:rsidRPr="00D806D9">
        <w:rPr>
          <w:rFonts w:asciiTheme="majorBidi" w:eastAsia="Times New Roman" w:hAnsiTheme="majorBidi" w:cstheme="majorBidi"/>
          <w:color w:val="000000"/>
          <w:sz w:val="24"/>
          <w:szCs w:val="24"/>
          <w:lang w:val="en-US" w:eastAsia="fr-FR" w:bidi="he-IL"/>
        </w:rPr>
        <w:t>this technology</w:t>
      </w:r>
      <w:r w:rsidR="0043255A" w:rsidRPr="00D806D9">
        <w:rPr>
          <w:rFonts w:asciiTheme="majorBidi" w:eastAsia="Times New Roman" w:hAnsiTheme="majorBidi" w:cstheme="majorBidi"/>
          <w:color w:val="000000"/>
          <w:sz w:val="24"/>
          <w:szCs w:val="24"/>
          <w:lang w:val="en-US" w:eastAsia="fr-FR" w:bidi="he-IL"/>
        </w:rPr>
        <w:t xml:space="preserve"> from a tech-economic perspective.</w:t>
      </w:r>
    </w:p>
    <w:p w14:paraId="1C4896EA" w14:textId="27D261E1"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4D01CA88" w14:textId="58C39C6B"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6354ACFB" w14:textId="427CF98B"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4F7E1399" w14:textId="32C2C713"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755BEC5B" w14:textId="628751B2"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7C561691" w14:textId="0DACB104"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350F8F24" w14:textId="30F323C2"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7AAF8E7B" w14:textId="19FF4FE9"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72A9602E" w14:textId="66DBA9F0" w:rsidR="00422AB2" w:rsidRPr="00D806D9" w:rsidRDefault="00422AB2" w:rsidP="00D806D9">
      <w:pPr>
        <w:spacing w:after="0" w:line="480" w:lineRule="auto"/>
        <w:jc w:val="both"/>
        <w:rPr>
          <w:rFonts w:asciiTheme="majorBidi" w:eastAsia="Times New Roman" w:hAnsiTheme="majorBidi" w:cstheme="majorBidi"/>
          <w:color w:val="000000"/>
          <w:sz w:val="24"/>
          <w:szCs w:val="24"/>
          <w:lang w:val="en-US" w:eastAsia="fr-FR" w:bidi="he-IL"/>
        </w:rPr>
      </w:pPr>
    </w:p>
    <w:p w14:paraId="14134551" w14:textId="77777777" w:rsidR="00422AB2" w:rsidRPr="00D806D9" w:rsidRDefault="00422AB2" w:rsidP="00D806D9">
      <w:pPr>
        <w:spacing w:after="0" w:line="480" w:lineRule="auto"/>
        <w:jc w:val="both"/>
        <w:rPr>
          <w:rFonts w:asciiTheme="majorBidi" w:eastAsia="Times New Roman" w:hAnsiTheme="majorBidi" w:cstheme="majorBidi"/>
          <w:color w:val="000000"/>
          <w:sz w:val="24"/>
          <w:szCs w:val="24"/>
          <w:lang w:val="en-US" w:eastAsia="fr-FR" w:bidi="he-IL"/>
        </w:rPr>
      </w:pPr>
    </w:p>
    <w:p w14:paraId="034696DF" w14:textId="5BCE6EFB" w:rsidR="00B025E5" w:rsidRPr="00D806D9" w:rsidRDefault="00B025E5" w:rsidP="00D806D9">
      <w:pPr>
        <w:spacing w:after="0" w:line="480" w:lineRule="auto"/>
        <w:jc w:val="both"/>
        <w:rPr>
          <w:rFonts w:asciiTheme="majorBidi" w:eastAsia="Times New Roman" w:hAnsiTheme="majorBidi" w:cstheme="majorBidi"/>
          <w:color w:val="000000"/>
          <w:sz w:val="24"/>
          <w:szCs w:val="24"/>
          <w:lang w:val="en-US" w:eastAsia="fr-FR" w:bidi="he-IL"/>
        </w:rPr>
      </w:pPr>
    </w:p>
    <w:p w14:paraId="67A1BC63" w14:textId="26BA7EA2" w:rsidR="001E2BCF" w:rsidRPr="00D806D9" w:rsidRDefault="00B17D4A" w:rsidP="00D806D9">
      <w:pPr>
        <w:spacing w:after="0" w:line="480" w:lineRule="auto"/>
        <w:ind w:left="1418" w:hanging="1418"/>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lastRenderedPageBreak/>
        <w:t xml:space="preserve">Section </w:t>
      </w:r>
      <w:r w:rsidR="002443F7" w:rsidRPr="00D806D9">
        <w:rPr>
          <w:rFonts w:asciiTheme="majorBidi" w:eastAsia="Times New Roman" w:hAnsiTheme="majorBidi" w:cstheme="majorBidi"/>
          <w:b/>
          <w:bCs/>
          <w:color w:val="000000"/>
          <w:sz w:val="24"/>
          <w:szCs w:val="24"/>
          <w:lang w:val="en-US" w:eastAsia="fr-FR" w:bidi="he-IL"/>
        </w:rPr>
        <w:t>2</w:t>
      </w:r>
      <w:r w:rsidR="002443F7" w:rsidRPr="00D806D9">
        <w:rPr>
          <w:rFonts w:asciiTheme="majorBidi" w:eastAsia="Times New Roman" w:hAnsiTheme="majorBidi" w:cstheme="majorBidi"/>
          <w:b/>
          <w:bCs/>
          <w:color w:val="000000"/>
          <w:sz w:val="24"/>
          <w:szCs w:val="24"/>
          <w:lang w:val="en-US" w:eastAsia="fr-FR" w:bidi="he-IL"/>
        </w:rPr>
        <w:tab/>
      </w:r>
      <w:r w:rsidRPr="00D806D9">
        <w:rPr>
          <w:rFonts w:asciiTheme="majorBidi" w:eastAsia="Times New Roman" w:hAnsiTheme="majorBidi" w:cstheme="majorBidi"/>
          <w:b/>
          <w:bCs/>
          <w:color w:val="000000"/>
          <w:sz w:val="24"/>
          <w:szCs w:val="24"/>
          <w:lang w:val="en-US" w:eastAsia="fr-FR" w:bidi="he-IL"/>
        </w:rPr>
        <w:t xml:space="preserve">A source of important GHGE facing technological </w:t>
      </w:r>
      <w:r w:rsidR="00333B6E" w:rsidRPr="00D806D9">
        <w:rPr>
          <w:rFonts w:asciiTheme="majorBidi" w:eastAsia="Times New Roman" w:hAnsiTheme="majorBidi" w:cstheme="majorBidi"/>
          <w:b/>
          <w:bCs/>
          <w:color w:val="000000"/>
          <w:sz w:val="24"/>
          <w:szCs w:val="24"/>
          <w:lang w:val="en-US" w:eastAsia="fr-FR" w:bidi="he-IL"/>
        </w:rPr>
        <w:t xml:space="preserve">and economic </w:t>
      </w:r>
      <w:r w:rsidRPr="00D806D9">
        <w:rPr>
          <w:rFonts w:asciiTheme="majorBidi" w:eastAsia="Times New Roman" w:hAnsiTheme="majorBidi" w:cstheme="majorBidi"/>
          <w:b/>
          <w:bCs/>
          <w:color w:val="000000"/>
          <w:sz w:val="24"/>
          <w:szCs w:val="24"/>
          <w:lang w:val="en-US" w:eastAsia="fr-FR" w:bidi="he-IL"/>
        </w:rPr>
        <w:t>uncertainties regarding its decarbonization potential</w:t>
      </w:r>
    </w:p>
    <w:p w14:paraId="0700F4C7" w14:textId="77777777" w:rsidR="009B70CE" w:rsidRPr="00D806D9" w:rsidRDefault="009B70CE" w:rsidP="00D806D9">
      <w:pPr>
        <w:spacing w:after="0" w:line="480" w:lineRule="auto"/>
        <w:jc w:val="both"/>
        <w:rPr>
          <w:rFonts w:asciiTheme="majorBidi" w:eastAsia="Times New Roman" w:hAnsiTheme="majorBidi" w:cstheme="majorBidi"/>
          <w:b/>
          <w:bCs/>
          <w:color w:val="000000"/>
          <w:sz w:val="24"/>
          <w:szCs w:val="24"/>
          <w:lang w:val="en-US" w:eastAsia="fr-FR" w:bidi="he-IL"/>
        </w:rPr>
      </w:pPr>
    </w:p>
    <w:p w14:paraId="627F068B" w14:textId="6BC74C39" w:rsidR="009B70CE" w:rsidRPr="00D806D9" w:rsidRDefault="00B17D4A"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Hydrogen has a high mass density making it very </w:t>
      </w:r>
      <w:r w:rsidR="001D7188" w:rsidRPr="00D806D9">
        <w:rPr>
          <w:rFonts w:asciiTheme="majorBidi" w:hAnsiTheme="majorBidi" w:cstheme="majorBidi"/>
          <w:sz w:val="24"/>
          <w:szCs w:val="24"/>
          <w:lang w:val="en-US"/>
        </w:rPr>
        <w:t>energetic,</w:t>
      </w:r>
      <w:r w:rsidRPr="00D806D9">
        <w:rPr>
          <w:rFonts w:asciiTheme="majorBidi" w:hAnsiTheme="majorBidi" w:cstheme="majorBidi"/>
          <w:sz w:val="24"/>
          <w:szCs w:val="24"/>
          <w:lang w:val="en-US"/>
        </w:rPr>
        <w:t xml:space="preserve"> but its density </w:t>
      </w:r>
      <w:r w:rsidR="00C37CF2" w:rsidRPr="00D806D9">
        <w:rPr>
          <w:rFonts w:asciiTheme="majorBidi" w:hAnsiTheme="majorBidi" w:cstheme="majorBidi"/>
          <w:sz w:val="24"/>
          <w:szCs w:val="24"/>
          <w:lang w:val="en-US"/>
        </w:rPr>
        <w:t>is extremely low</w:t>
      </w:r>
      <w:r w:rsidR="000846F1">
        <w:rPr>
          <w:rFonts w:asciiTheme="majorBidi" w:hAnsiTheme="majorBidi" w:cstheme="majorBidi"/>
          <w:sz w:val="24"/>
          <w:szCs w:val="24"/>
          <w:lang w:val="en-US"/>
        </w:rPr>
        <w:t>,</w:t>
      </w:r>
      <w:r w:rsidR="00C37CF2" w:rsidRPr="00D806D9">
        <w:rPr>
          <w:rFonts w:asciiTheme="majorBidi" w:hAnsiTheme="majorBidi" w:cstheme="majorBidi"/>
          <w:sz w:val="24"/>
          <w:szCs w:val="24"/>
          <w:lang w:val="en-US"/>
        </w:rPr>
        <w:t xml:space="preserve"> which </w:t>
      </w:r>
      <w:r w:rsidRPr="00D806D9">
        <w:rPr>
          <w:rFonts w:asciiTheme="majorBidi" w:hAnsiTheme="majorBidi" w:cstheme="majorBidi"/>
          <w:sz w:val="24"/>
          <w:szCs w:val="24"/>
          <w:lang w:val="en-US"/>
        </w:rPr>
        <w:t>renders</w:t>
      </w:r>
      <w:r w:rsidR="00633355" w:rsidRPr="00D806D9">
        <w:rPr>
          <w:rFonts w:asciiTheme="majorBidi" w:hAnsiTheme="majorBidi" w:cstheme="majorBidi"/>
          <w:sz w:val="24"/>
          <w:szCs w:val="24"/>
          <w:lang w:val="en-US"/>
        </w:rPr>
        <w:t xml:space="preserve"> it</w:t>
      </w:r>
      <w:r w:rsidRPr="00D806D9">
        <w:rPr>
          <w:rFonts w:asciiTheme="majorBidi" w:hAnsiTheme="majorBidi" w:cstheme="majorBidi"/>
          <w:sz w:val="24"/>
          <w:szCs w:val="24"/>
          <w:lang w:val="en-US"/>
        </w:rPr>
        <w:t xml:space="preserve"> difficult to handle</w:t>
      </w:r>
      <w:r w:rsidR="00C37CF2"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because it is gaseous under normal temperature and pressure conditions. It is naturally found on Earth in proportions that are not yet well defined (Prinzhofer et al., 2018). According to the IEA (2019), hydrogen production has increased more than threefold since 1975 to exceed 70 million tons per year in 2015 and continues to grow. </w:t>
      </w:r>
      <w:r w:rsidR="00BC5907" w:rsidRPr="00D806D9">
        <w:rPr>
          <w:rFonts w:asciiTheme="majorBidi" w:hAnsiTheme="majorBidi" w:cstheme="majorBidi"/>
          <w:sz w:val="24"/>
          <w:szCs w:val="24"/>
          <w:lang w:val="en-US"/>
        </w:rPr>
        <w:t xml:space="preserve">This section </w:t>
      </w:r>
      <w:r w:rsidRPr="00D806D9">
        <w:rPr>
          <w:rFonts w:asciiTheme="majorBidi" w:hAnsiTheme="majorBidi" w:cstheme="majorBidi"/>
          <w:sz w:val="24"/>
          <w:szCs w:val="24"/>
          <w:lang w:val="en-US"/>
        </w:rPr>
        <w:t>will review its current production and consumption modes and those in development to appreciate hydrogen</w:t>
      </w:r>
      <w:r w:rsidR="000846F1">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climatic impact and </w:t>
      </w:r>
      <w:r w:rsidR="006645F3">
        <w:rPr>
          <w:rFonts w:asciiTheme="majorBidi" w:hAnsiTheme="majorBidi" w:cstheme="majorBidi"/>
          <w:sz w:val="24"/>
          <w:szCs w:val="24"/>
          <w:lang w:val="en-US"/>
        </w:rPr>
        <w:t>LCH’s</w:t>
      </w:r>
      <w:r w:rsidRPr="00D806D9">
        <w:rPr>
          <w:rFonts w:asciiTheme="majorBidi" w:hAnsiTheme="majorBidi" w:cstheme="majorBidi"/>
          <w:sz w:val="24"/>
          <w:szCs w:val="24"/>
          <w:lang w:val="en-US"/>
        </w:rPr>
        <w:t xml:space="preserve"> potential to respond to </w:t>
      </w:r>
      <w:r w:rsidR="001E2BCF" w:rsidRPr="00D806D9">
        <w:rPr>
          <w:rFonts w:asciiTheme="majorBidi" w:hAnsiTheme="majorBidi" w:cstheme="majorBidi"/>
          <w:sz w:val="24"/>
          <w:szCs w:val="24"/>
          <w:lang w:val="en-US"/>
        </w:rPr>
        <w:t xml:space="preserve">MS’ </w:t>
      </w:r>
      <w:r w:rsidRPr="00D806D9">
        <w:rPr>
          <w:rFonts w:asciiTheme="majorBidi" w:hAnsiTheme="majorBidi" w:cstheme="majorBidi"/>
          <w:sz w:val="24"/>
          <w:szCs w:val="24"/>
          <w:lang w:val="en-US"/>
        </w:rPr>
        <w:t>commitments</w:t>
      </w:r>
      <w:r w:rsidR="001E2BCF" w:rsidRPr="00D806D9">
        <w:rPr>
          <w:rFonts w:asciiTheme="majorBidi" w:hAnsiTheme="majorBidi" w:cstheme="majorBidi"/>
          <w:sz w:val="24"/>
          <w:szCs w:val="24"/>
          <w:lang w:val="en-US"/>
        </w:rPr>
        <w:t xml:space="preserve"> under the PA</w:t>
      </w:r>
      <w:r w:rsidRPr="00D806D9">
        <w:rPr>
          <w:rFonts w:asciiTheme="majorBidi" w:hAnsiTheme="majorBidi" w:cstheme="majorBidi"/>
          <w:sz w:val="24"/>
          <w:szCs w:val="24"/>
          <w:lang w:val="en-US"/>
        </w:rPr>
        <w:t>.</w:t>
      </w:r>
    </w:p>
    <w:p w14:paraId="1EAEEC11" w14:textId="77777777" w:rsidR="009B70CE" w:rsidRPr="00D806D9" w:rsidRDefault="009B70CE" w:rsidP="00D806D9">
      <w:pPr>
        <w:spacing w:after="0" w:line="480" w:lineRule="auto"/>
        <w:jc w:val="both"/>
        <w:rPr>
          <w:rFonts w:asciiTheme="majorBidi" w:hAnsiTheme="majorBidi" w:cstheme="majorBidi"/>
          <w:sz w:val="24"/>
          <w:szCs w:val="24"/>
          <w:lang w:val="en-US"/>
        </w:rPr>
      </w:pPr>
    </w:p>
    <w:p w14:paraId="48F09A04" w14:textId="6C753A92" w:rsidR="00B17D4A" w:rsidRPr="00D806D9" w:rsidRDefault="00E1580C" w:rsidP="00D806D9">
      <w:pPr>
        <w:autoSpaceDE w:val="0"/>
        <w:autoSpaceDN w:val="0"/>
        <w:adjustRightInd w:val="0"/>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t>2</w:t>
      </w:r>
      <w:r w:rsidR="00B17D4A" w:rsidRPr="00D806D9">
        <w:rPr>
          <w:rFonts w:asciiTheme="majorBidi" w:eastAsia="Times New Roman" w:hAnsiTheme="majorBidi" w:cstheme="majorBidi"/>
          <w:b/>
          <w:bCs/>
          <w:color w:val="000000"/>
          <w:sz w:val="24"/>
          <w:szCs w:val="24"/>
          <w:lang w:val="en-US" w:eastAsia="fr-FR" w:bidi="he-IL"/>
        </w:rPr>
        <w:t>.1.</w:t>
      </w:r>
      <w:r w:rsidR="00B17D4A" w:rsidRPr="00D806D9">
        <w:rPr>
          <w:rFonts w:asciiTheme="majorBidi" w:eastAsia="Times New Roman" w:hAnsiTheme="majorBidi" w:cstheme="majorBidi"/>
          <w:b/>
          <w:bCs/>
          <w:color w:val="000000"/>
          <w:sz w:val="24"/>
          <w:szCs w:val="24"/>
          <w:lang w:val="en-US" w:eastAsia="fr-FR" w:bidi="he-IL"/>
        </w:rPr>
        <w:tab/>
        <w:t xml:space="preserve">Current and </w:t>
      </w:r>
      <w:r w:rsidR="00FD6132">
        <w:rPr>
          <w:rFonts w:asciiTheme="majorBidi" w:eastAsia="Times New Roman" w:hAnsiTheme="majorBidi" w:cstheme="majorBidi"/>
          <w:b/>
          <w:bCs/>
          <w:color w:val="000000"/>
          <w:sz w:val="24"/>
          <w:szCs w:val="24"/>
          <w:lang w:val="en-US" w:eastAsia="fr-FR" w:bidi="he-IL"/>
        </w:rPr>
        <w:t>expected</w:t>
      </w:r>
      <w:r w:rsidR="00B17D4A" w:rsidRPr="00D806D9">
        <w:rPr>
          <w:rFonts w:asciiTheme="majorBidi" w:eastAsia="Times New Roman" w:hAnsiTheme="majorBidi" w:cstheme="majorBidi"/>
          <w:b/>
          <w:bCs/>
          <w:color w:val="000000"/>
          <w:sz w:val="24"/>
          <w:szCs w:val="24"/>
          <w:lang w:val="en-US" w:eastAsia="fr-FR" w:bidi="he-IL"/>
        </w:rPr>
        <w:t xml:space="preserve"> hydrogen production methods</w:t>
      </w:r>
    </w:p>
    <w:p w14:paraId="51516E5C" w14:textId="77777777" w:rsidR="00B17D4A" w:rsidRPr="00D806D9" w:rsidRDefault="00B17D4A" w:rsidP="00D806D9">
      <w:pPr>
        <w:spacing w:after="0" w:line="480" w:lineRule="auto"/>
        <w:rPr>
          <w:lang w:val="en-US" w:eastAsia="fr-FR" w:bidi="he-IL"/>
        </w:rPr>
      </w:pPr>
    </w:p>
    <w:p w14:paraId="3C039045" w14:textId="42CEAD0A" w:rsidR="00B17D4A" w:rsidRPr="00D806D9" w:rsidRDefault="00B17D4A"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Firstly, hydrogen is currently transformed via three different methods: TC, pyrolysis</w:t>
      </w:r>
      <w:r w:rsidR="006645F3">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electrolysis. TC can be broken down into three distinct processes, all of which are based on coal or natural gas associated with high temperatures (between 600 and 1800°C) representing 98% of </w:t>
      </w:r>
      <w:r w:rsidR="0020390F" w:rsidRPr="00D806D9">
        <w:rPr>
          <w:rFonts w:asciiTheme="majorBidi" w:hAnsiTheme="majorBidi" w:cstheme="majorBidi"/>
          <w:sz w:val="24"/>
          <w:szCs w:val="24"/>
          <w:lang w:val="en-US"/>
        </w:rPr>
        <w:t xml:space="preserve">global </w:t>
      </w:r>
      <w:r w:rsidRPr="00D806D9">
        <w:rPr>
          <w:rFonts w:asciiTheme="majorBidi" w:hAnsiTheme="majorBidi" w:cstheme="majorBidi"/>
          <w:sz w:val="24"/>
          <w:szCs w:val="24"/>
          <w:lang w:val="en-US"/>
        </w:rPr>
        <w:t>dedicated</w:t>
      </w:r>
      <w:r w:rsidR="0020390F" w:rsidRPr="00D806D9">
        <w:rPr>
          <w:rStyle w:val="FootnoteReference"/>
          <w:rFonts w:asciiTheme="majorBidi" w:hAnsiTheme="majorBidi" w:cstheme="majorBidi"/>
          <w:sz w:val="24"/>
          <w:szCs w:val="24"/>
          <w:lang w:val="en-US"/>
        </w:rPr>
        <w:footnoteReference w:id="1"/>
      </w:r>
      <w:r w:rsidRPr="00D806D9">
        <w:rPr>
          <w:rFonts w:asciiTheme="majorBidi" w:hAnsiTheme="majorBidi" w:cstheme="majorBidi"/>
          <w:sz w:val="24"/>
          <w:szCs w:val="24"/>
          <w:lang w:val="en-US"/>
        </w:rPr>
        <w:t xml:space="preserve"> hydrogen production. The first TC method is SMR</w:t>
      </w:r>
      <w:r w:rsidR="000846F1">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during which methane reacts with steam to form a syngas composed mainly of hydrogen. SMR constitutes today 71% of the </w:t>
      </w:r>
      <w:r w:rsidR="00A528D1" w:rsidRPr="00D806D9">
        <w:rPr>
          <w:rFonts w:asciiTheme="majorBidi" w:hAnsiTheme="majorBidi" w:cstheme="majorBidi"/>
          <w:sz w:val="24"/>
          <w:szCs w:val="24"/>
          <w:lang w:val="en-US"/>
        </w:rPr>
        <w:t xml:space="preserve">annual </w:t>
      </w:r>
      <w:r w:rsidRPr="00D806D9">
        <w:rPr>
          <w:rFonts w:asciiTheme="majorBidi" w:hAnsiTheme="majorBidi" w:cstheme="majorBidi"/>
          <w:sz w:val="24"/>
          <w:szCs w:val="24"/>
          <w:lang w:val="en-US"/>
        </w:rPr>
        <w:t xml:space="preserve">dedicated </w:t>
      </w:r>
      <w:r w:rsidR="00A528D1" w:rsidRPr="00D806D9">
        <w:rPr>
          <w:rFonts w:asciiTheme="majorBidi" w:hAnsiTheme="majorBidi" w:cstheme="majorBidi"/>
          <w:sz w:val="24"/>
          <w:szCs w:val="24"/>
          <w:lang w:val="en-US"/>
        </w:rPr>
        <w:t xml:space="preserve">hydrogen </w:t>
      </w:r>
      <w:r w:rsidRPr="00D806D9">
        <w:rPr>
          <w:rFonts w:asciiTheme="majorBidi" w:hAnsiTheme="majorBidi" w:cstheme="majorBidi"/>
          <w:sz w:val="24"/>
          <w:szCs w:val="24"/>
          <w:lang w:val="en-US"/>
        </w:rPr>
        <w:t>production consuming “</w:t>
      </w:r>
      <w:r w:rsidR="00E1580C" w:rsidRPr="00D806D9">
        <w:rPr>
          <w:rFonts w:asciiTheme="majorBidi" w:hAnsiTheme="majorBidi" w:cstheme="majorBidi"/>
          <w:sz w:val="24"/>
          <w:szCs w:val="24"/>
          <w:lang w:val="en-US"/>
        </w:rPr>
        <w:t>about</w:t>
      </w:r>
      <w:r w:rsidRPr="00D806D9">
        <w:rPr>
          <w:rFonts w:asciiTheme="majorBidi" w:hAnsiTheme="majorBidi" w:cstheme="majorBidi"/>
          <w:sz w:val="24"/>
          <w:szCs w:val="24"/>
          <w:lang w:val="en-US"/>
        </w:rPr>
        <w:t xml:space="preserve"> </w:t>
      </w:r>
      <w:r w:rsidR="00E1580C"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6% of </w:t>
      </w:r>
      <w:r w:rsidR="00E1580C" w:rsidRPr="00D806D9">
        <w:rPr>
          <w:rFonts w:asciiTheme="majorBidi" w:hAnsiTheme="majorBidi" w:cstheme="majorBidi"/>
          <w:sz w:val="24"/>
          <w:szCs w:val="24"/>
          <w:lang w:val="en-US"/>
        </w:rPr>
        <w:t>global</w:t>
      </w:r>
      <w:r w:rsidRPr="00D806D9">
        <w:rPr>
          <w:rFonts w:asciiTheme="majorBidi" w:hAnsiTheme="majorBidi" w:cstheme="majorBidi"/>
          <w:sz w:val="24"/>
          <w:szCs w:val="24"/>
          <w:lang w:val="en-US"/>
        </w:rPr>
        <w:t xml:space="preserve"> natural gas</w:t>
      </w:r>
      <w:r w:rsidR="00E1580C" w:rsidRPr="00D806D9">
        <w:rPr>
          <w:rFonts w:asciiTheme="majorBidi" w:hAnsiTheme="majorBidi" w:cstheme="majorBidi"/>
          <w:sz w:val="24"/>
          <w:szCs w:val="24"/>
          <w:lang w:val="en-US"/>
        </w:rPr>
        <w:t xml:space="preserve"> use</w:t>
      </w:r>
      <w:r w:rsidRPr="00D806D9">
        <w:rPr>
          <w:rFonts w:asciiTheme="majorBidi" w:hAnsiTheme="majorBidi" w:cstheme="majorBidi"/>
          <w:sz w:val="24"/>
          <w:szCs w:val="24"/>
          <w:lang w:val="en-US"/>
        </w:rPr>
        <w:t>"</w:t>
      </w:r>
      <w:r w:rsidR="00E1580C"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IEA, 2019, p.3</w:t>
      </w:r>
      <w:r w:rsidR="00193710" w:rsidRPr="00D806D9">
        <w:rPr>
          <w:rFonts w:asciiTheme="majorBidi" w:hAnsiTheme="majorBidi" w:cstheme="majorBidi"/>
          <w:sz w:val="24"/>
          <w:szCs w:val="24"/>
          <w:lang w:val="en-US"/>
        </w:rPr>
        <w:t>8</w:t>
      </w:r>
      <w:r w:rsidRPr="00D806D9">
        <w:rPr>
          <w:rFonts w:asciiTheme="majorBidi" w:hAnsiTheme="majorBidi" w:cstheme="majorBidi"/>
          <w:sz w:val="24"/>
          <w:szCs w:val="24"/>
          <w:lang w:val="en-US"/>
        </w:rPr>
        <w:t xml:space="preserve">). The second TC method, partial oxidation, allows </w:t>
      </w:r>
      <w:r w:rsidR="005D1ADE" w:rsidRPr="00D806D9">
        <w:rPr>
          <w:rFonts w:asciiTheme="majorBidi" w:hAnsiTheme="majorBidi" w:cstheme="majorBidi"/>
          <w:sz w:val="24"/>
          <w:szCs w:val="24"/>
          <w:lang w:val="en-US"/>
        </w:rPr>
        <w:t xml:space="preserve">hydrogen </w:t>
      </w:r>
      <w:r w:rsidRPr="00D806D9">
        <w:rPr>
          <w:rFonts w:asciiTheme="majorBidi" w:hAnsiTheme="majorBidi" w:cstheme="majorBidi"/>
          <w:sz w:val="24"/>
          <w:szCs w:val="24"/>
          <w:lang w:val="en-US"/>
        </w:rPr>
        <w:t>generation from heavy fuel oil or coal using oxygen. A final TC process is coal gasification</w:t>
      </w:r>
      <w:r w:rsidR="000846F1">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in which the latter is dried and thermally cracked into carbon and hydrogen by an anaerobic reaction. Then, the heated </w:t>
      </w:r>
      <w:r w:rsidRPr="00D806D9">
        <w:rPr>
          <w:rFonts w:asciiTheme="majorBidi" w:hAnsiTheme="majorBidi" w:cstheme="majorBidi"/>
          <w:sz w:val="24"/>
          <w:szCs w:val="24"/>
          <w:lang w:val="en-US"/>
        </w:rPr>
        <w:lastRenderedPageBreak/>
        <w:t xml:space="preserve">carbon and steam produce a syngas consisting of carbon monoxide and hydrogen. Through the reaction of the gas with water, the carbon monoxide is converted into carbon dioxide and hydrogen. Coal gasification currently accounts for 27% of dedicated annual hydrogen production and "consumes </w:t>
      </w:r>
      <w:r w:rsidR="005215B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2% of global coal </w:t>
      </w:r>
      <w:r w:rsidR="005215B6" w:rsidRPr="00D806D9">
        <w:rPr>
          <w:rFonts w:asciiTheme="majorBidi" w:hAnsiTheme="majorBidi" w:cstheme="majorBidi"/>
          <w:sz w:val="24"/>
          <w:szCs w:val="24"/>
          <w:lang w:val="en-US"/>
        </w:rPr>
        <w:t>use</w:t>
      </w:r>
      <w:r w:rsidRPr="00D806D9">
        <w:rPr>
          <w:rFonts w:asciiTheme="majorBidi" w:hAnsiTheme="majorBidi" w:cstheme="majorBidi"/>
          <w:sz w:val="24"/>
          <w:szCs w:val="24"/>
          <w:lang w:val="en-US"/>
        </w:rPr>
        <w:t xml:space="preserve">” (Ibid.). </w:t>
      </w:r>
      <w:bookmarkStart w:id="2" w:name="_Hlk109833542"/>
      <w:bookmarkStart w:id="3" w:name="_Hlk110954707"/>
      <w:r w:rsidR="006645F3">
        <w:rPr>
          <w:rFonts w:asciiTheme="majorBidi" w:hAnsiTheme="majorBidi" w:cstheme="majorBidi"/>
          <w:sz w:val="24"/>
          <w:szCs w:val="24"/>
          <w:lang w:val="en-US"/>
        </w:rPr>
        <w:t>The thermal</w:t>
      </w:r>
      <w:r w:rsidRPr="00D806D9">
        <w:rPr>
          <w:rFonts w:asciiTheme="majorBidi" w:hAnsiTheme="majorBidi" w:cstheme="majorBidi"/>
          <w:sz w:val="24"/>
          <w:szCs w:val="24"/>
          <w:lang w:val="en-US"/>
        </w:rPr>
        <w:t xml:space="preserve"> pyrolysis of methane</w:t>
      </w:r>
      <w:bookmarkEnd w:id="2"/>
      <w:r w:rsidRPr="00D806D9">
        <w:rPr>
          <w:rFonts w:asciiTheme="majorBidi" w:hAnsiTheme="majorBidi" w:cstheme="majorBidi"/>
          <w:sz w:val="24"/>
          <w:szCs w:val="24"/>
          <w:lang w:val="en-US"/>
        </w:rPr>
        <w:t xml:space="preserve"> </w:t>
      </w:r>
      <w:bookmarkEnd w:id="3"/>
      <w:r w:rsidRPr="00D806D9">
        <w:rPr>
          <w:rFonts w:asciiTheme="majorBidi" w:hAnsiTheme="majorBidi" w:cstheme="majorBidi"/>
          <w:sz w:val="24"/>
          <w:szCs w:val="24"/>
          <w:lang w:val="en-US"/>
        </w:rPr>
        <w:t>is the second hydrogen production process. It reduces carbon emissions during the hydrogen transformation process compared to TC. During the thermal treatment of methane in the absence of oxygen, solid carbon and hydrogen gas are produced. Being a highly endothermic</w:t>
      </w:r>
      <w:r w:rsidRPr="00D806D9">
        <w:rPr>
          <w:rStyle w:val="FootnoteReference"/>
          <w:rFonts w:asciiTheme="majorBidi" w:hAnsiTheme="majorBidi" w:cstheme="majorBidi"/>
          <w:sz w:val="24"/>
          <w:szCs w:val="24"/>
          <w:lang w:val="en-US"/>
        </w:rPr>
        <w:footnoteReference w:id="2"/>
      </w:r>
      <w:r w:rsidRPr="00D806D9">
        <w:rPr>
          <w:rFonts w:asciiTheme="majorBidi" w:hAnsiTheme="majorBidi" w:cstheme="majorBidi"/>
          <w:sz w:val="24"/>
          <w:szCs w:val="24"/>
          <w:lang w:val="en-US"/>
        </w:rPr>
        <w:t xml:space="preserve"> process, heat </w:t>
      </w:r>
      <w:r w:rsidR="003D22F6">
        <w:rPr>
          <w:rFonts w:asciiTheme="majorBidi" w:hAnsiTheme="majorBidi" w:cstheme="majorBidi"/>
          <w:sz w:val="24"/>
          <w:szCs w:val="24"/>
          <w:lang w:val="en-US"/>
        </w:rPr>
        <w:t>must</w:t>
      </w:r>
      <w:r w:rsidRPr="00D806D9">
        <w:rPr>
          <w:rFonts w:asciiTheme="majorBidi" w:hAnsiTheme="majorBidi" w:cstheme="majorBidi"/>
          <w:sz w:val="24"/>
          <w:szCs w:val="24"/>
          <w:lang w:val="en-US"/>
        </w:rPr>
        <w:t xml:space="preserve"> crack the methane molecules. It is theoretically possible to use a fraction of the hydrogen produced to heat the reactor itself to obtain a carbon-neutral final product. However, its price competitiveness against TC methods is strongly dependent on a higher carbon valuation on the emissions market (Parkinson et al., 2018) and solid carbon by-products must be eliminated representing quantities all the more important as the hydrogen production is high. Electrolysis is the third method currently available for the production of hydrogen.</w:t>
      </w:r>
      <w:r w:rsidR="00F21C20" w:rsidRPr="00D806D9">
        <w:rPr>
          <w:rFonts w:asciiTheme="majorBidi" w:hAnsiTheme="majorBidi" w:cstheme="majorBidi"/>
          <w:sz w:val="24"/>
          <w:szCs w:val="24"/>
          <w:lang w:val="en-US"/>
        </w:rPr>
        <w:t xml:space="preserve"> It will be </w:t>
      </w:r>
      <w:r w:rsidRPr="00D806D9">
        <w:rPr>
          <w:rFonts w:asciiTheme="majorBidi" w:hAnsiTheme="majorBidi" w:cstheme="majorBidi"/>
          <w:sz w:val="24"/>
          <w:szCs w:val="24"/>
          <w:lang w:val="en-US"/>
        </w:rPr>
        <w:t>examined in subsection</w:t>
      </w:r>
      <w:r w:rsidR="00316693" w:rsidRPr="00D806D9">
        <w:rPr>
          <w:rFonts w:asciiTheme="majorBidi" w:hAnsiTheme="majorBidi" w:cstheme="majorBidi"/>
          <w:sz w:val="24"/>
          <w:szCs w:val="24"/>
          <w:lang w:val="en-US"/>
        </w:rPr>
        <w:t xml:space="preserve"> 2.3</w:t>
      </w:r>
      <w:r w:rsidR="00F21C20" w:rsidRPr="00D806D9">
        <w:rPr>
          <w:rFonts w:asciiTheme="majorBidi" w:hAnsiTheme="majorBidi" w:cstheme="majorBidi"/>
          <w:sz w:val="24"/>
          <w:szCs w:val="24"/>
          <w:lang w:val="en-US"/>
        </w:rPr>
        <w:t xml:space="preserve"> together with the technology enabling it: </w:t>
      </w:r>
      <w:r w:rsidR="006645F3">
        <w:rPr>
          <w:rFonts w:asciiTheme="majorBidi" w:hAnsiTheme="majorBidi" w:cstheme="majorBidi"/>
          <w:sz w:val="24"/>
          <w:szCs w:val="24"/>
          <w:lang w:val="en-US"/>
        </w:rPr>
        <w:t>electrolysers</w:t>
      </w:r>
      <w:r w:rsidRPr="00D806D9">
        <w:rPr>
          <w:rFonts w:asciiTheme="majorBidi" w:hAnsiTheme="majorBidi" w:cstheme="majorBidi"/>
          <w:sz w:val="24"/>
          <w:szCs w:val="24"/>
          <w:lang w:val="en-US"/>
        </w:rPr>
        <w:t xml:space="preserve">. The current </w:t>
      </w:r>
      <w:r w:rsidR="00AB3412" w:rsidRPr="00D806D9">
        <w:rPr>
          <w:rFonts w:asciiTheme="majorBidi" w:hAnsiTheme="majorBidi" w:cstheme="majorBidi"/>
          <w:sz w:val="24"/>
          <w:szCs w:val="24"/>
          <w:lang w:val="en-US"/>
        </w:rPr>
        <w:t>global hydrogen</w:t>
      </w:r>
      <w:r w:rsidRPr="00D806D9">
        <w:rPr>
          <w:rFonts w:asciiTheme="majorBidi" w:hAnsiTheme="majorBidi" w:cstheme="majorBidi"/>
          <w:sz w:val="24"/>
          <w:szCs w:val="24"/>
          <w:lang w:val="en-US"/>
        </w:rPr>
        <w:t xml:space="preserve"> production is therefore based mainly on fossil fuels and </w:t>
      </w:r>
      <w:r w:rsidR="006645F3">
        <w:rPr>
          <w:rFonts w:asciiTheme="majorBidi" w:hAnsiTheme="majorBidi" w:cstheme="majorBidi"/>
          <w:sz w:val="24"/>
          <w:szCs w:val="24"/>
          <w:lang w:val="en-US"/>
        </w:rPr>
        <w:t xml:space="preserve">is </w:t>
      </w:r>
      <w:r w:rsidRPr="00D806D9">
        <w:rPr>
          <w:rFonts w:asciiTheme="majorBidi" w:hAnsiTheme="majorBidi" w:cstheme="majorBidi"/>
          <w:sz w:val="24"/>
          <w:szCs w:val="24"/>
          <w:lang w:val="en-US"/>
        </w:rPr>
        <w:t xml:space="preserve">responsible for </w:t>
      </w:r>
      <w:r w:rsidR="00AB3412" w:rsidRPr="00D806D9">
        <w:rPr>
          <w:rFonts w:asciiTheme="majorBidi" w:hAnsiTheme="majorBidi" w:cstheme="majorBidi"/>
          <w:sz w:val="24"/>
          <w:szCs w:val="24"/>
          <w:lang w:val="en-US"/>
        </w:rPr>
        <w:t>the equivalent of</w:t>
      </w:r>
      <w:r w:rsidRPr="00D806D9">
        <w:rPr>
          <w:rFonts w:asciiTheme="majorBidi" w:hAnsiTheme="majorBidi" w:cstheme="majorBidi"/>
          <w:sz w:val="24"/>
          <w:szCs w:val="24"/>
          <w:lang w:val="en-US"/>
        </w:rPr>
        <w:t xml:space="preserve"> </w:t>
      </w:r>
      <w:r w:rsidR="00F56759"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the 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emissions of Indonesia and the United Kingdom combined" (IEA, 2019, p.17)</w:t>
      </w:r>
      <w:r w:rsidR="00926B4A" w:rsidRPr="00D806D9">
        <w:rPr>
          <w:rFonts w:asciiTheme="majorBidi" w:hAnsiTheme="majorBidi" w:cstheme="majorBidi"/>
          <w:sz w:val="24"/>
          <w:szCs w:val="24"/>
          <w:lang w:val="en-US"/>
        </w:rPr>
        <w:t xml:space="preserve"> representing about 3% of total global </w:t>
      </w:r>
      <w:r w:rsidR="0033516B" w:rsidRPr="00D806D9">
        <w:rPr>
          <w:rFonts w:asciiTheme="majorBidi" w:hAnsiTheme="majorBidi" w:cstheme="majorBidi"/>
          <w:sz w:val="24"/>
          <w:szCs w:val="24"/>
          <w:lang w:val="en-US"/>
        </w:rPr>
        <w:t>CO</w:t>
      </w:r>
      <w:r w:rsidR="0033516B" w:rsidRPr="00D806D9">
        <w:rPr>
          <w:rFonts w:asciiTheme="majorBidi" w:hAnsiTheme="majorBidi" w:cstheme="majorBidi"/>
          <w:sz w:val="24"/>
          <w:szCs w:val="24"/>
          <w:vertAlign w:val="subscript"/>
          <w:lang w:val="en-US"/>
        </w:rPr>
        <w:t xml:space="preserve">2 </w:t>
      </w:r>
      <w:r w:rsidR="00926B4A" w:rsidRPr="00D806D9">
        <w:rPr>
          <w:rFonts w:asciiTheme="majorBidi" w:hAnsiTheme="majorBidi" w:cstheme="majorBidi"/>
          <w:sz w:val="24"/>
          <w:szCs w:val="24"/>
          <w:lang w:val="en-US"/>
        </w:rPr>
        <w:t xml:space="preserve">emissions. </w:t>
      </w:r>
      <w:r w:rsidRPr="00D806D9">
        <w:rPr>
          <w:rFonts w:asciiTheme="majorBidi" w:hAnsiTheme="majorBidi" w:cstheme="majorBidi"/>
          <w:sz w:val="24"/>
          <w:szCs w:val="24"/>
          <w:lang w:val="en-US"/>
        </w:rPr>
        <w:t>It is important to keep in mind that there are many biases and difficulties in the quantitative assessment of all emissions along the value chain, as i</w:t>
      </w:r>
      <w:r w:rsidR="00461392" w:rsidRPr="00D806D9">
        <w:rPr>
          <w:rFonts w:asciiTheme="majorBidi" w:hAnsiTheme="majorBidi" w:cstheme="majorBidi"/>
          <w:sz w:val="24"/>
          <w:szCs w:val="24"/>
          <w:lang w:val="en-US"/>
        </w:rPr>
        <w:t>n</w:t>
      </w:r>
      <w:r w:rsidRPr="00D806D9">
        <w:rPr>
          <w:rFonts w:asciiTheme="majorBidi" w:hAnsiTheme="majorBidi" w:cstheme="majorBidi"/>
          <w:sz w:val="24"/>
          <w:szCs w:val="24"/>
          <w:lang w:val="en-US"/>
        </w:rPr>
        <w:t xml:space="preserve"> the case </w:t>
      </w:r>
      <w:r w:rsidR="00461392" w:rsidRPr="00D806D9">
        <w:rPr>
          <w:rFonts w:asciiTheme="majorBidi" w:hAnsiTheme="majorBidi" w:cstheme="majorBidi"/>
          <w:sz w:val="24"/>
          <w:szCs w:val="24"/>
          <w:lang w:val="en-US"/>
        </w:rPr>
        <w:t>of</w:t>
      </w:r>
      <w:r w:rsidRPr="00D806D9">
        <w:rPr>
          <w:rFonts w:asciiTheme="majorBidi" w:hAnsiTheme="majorBidi" w:cstheme="majorBidi"/>
          <w:sz w:val="24"/>
          <w:szCs w:val="24"/>
          <w:lang w:val="en-US"/>
        </w:rPr>
        <w:t xml:space="preserve"> methane leaks upstream of the production process </w:t>
      </w:r>
      <w:r w:rsidR="00926B4A" w:rsidRPr="00D806D9">
        <w:rPr>
          <w:rFonts w:asciiTheme="majorBidi" w:hAnsiTheme="majorBidi" w:cstheme="majorBidi"/>
          <w:sz w:val="24"/>
          <w:szCs w:val="24"/>
          <w:lang w:val="en-US"/>
        </w:rPr>
        <w:t>of</w:t>
      </w:r>
      <w:r w:rsidRPr="00D806D9">
        <w:rPr>
          <w:rFonts w:asciiTheme="majorBidi" w:hAnsiTheme="majorBidi" w:cstheme="majorBidi"/>
          <w:sz w:val="24"/>
          <w:szCs w:val="24"/>
          <w:lang w:val="en-US"/>
        </w:rPr>
        <w:t>ten neglected by studies (Noussan et al., 2021). Technological alternative</w:t>
      </w:r>
      <w:r w:rsidR="003D22F6">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or complementary solutions are at the R&amp;D stage, </w:t>
      </w:r>
      <w:r w:rsidR="00C37CF2" w:rsidRPr="00D806D9">
        <w:rPr>
          <w:rFonts w:asciiTheme="majorBidi" w:hAnsiTheme="majorBidi" w:cstheme="majorBidi"/>
          <w:sz w:val="24"/>
          <w:szCs w:val="24"/>
          <w:lang w:val="en-US"/>
        </w:rPr>
        <w:t>e.g.,</w:t>
      </w:r>
      <w:r w:rsidRPr="00D806D9">
        <w:rPr>
          <w:rFonts w:asciiTheme="majorBidi" w:hAnsiTheme="majorBidi" w:cstheme="majorBidi"/>
          <w:sz w:val="24"/>
          <w:szCs w:val="24"/>
          <w:lang w:val="en-US"/>
        </w:rPr>
        <w:t xml:space="preserve"> hydrogen filters that prevent other gases from rising during the SMR process </w:t>
      </w:r>
      <w:r w:rsidRPr="00D806D9">
        <w:rPr>
          <w:rFonts w:asciiTheme="majorBidi" w:hAnsiTheme="majorBidi" w:cstheme="majorBidi"/>
          <w:sz w:val="24"/>
          <w:szCs w:val="24"/>
          <w:lang w:val="en-US"/>
        </w:rPr>
        <w:lastRenderedPageBreak/>
        <w:t xml:space="preserve">(Pflugmann &amp; De Blasio, 2020 p.47) and would have the advantage of using existing </w:t>
      </w:r>
      <w:r w:rsidR="005373A1" w:rsidRPr="00D806D9">
        <w:rPr>
          <w:rFonts w:asciiTheme="majorBidi" w:hAnsiTheme="majorBidi" w:cstheme="majorBidi"/>
          <w:noProof/>
          <w:sz w:val="24"/>
          <w:szCs w:val="24"/>
          <w:lang w:val="en-US"/>
        </w:rPr>
        <w:drawing>
          <wp:anchor distT="180340" distB="180340" distL="114300" distR="114300" simplePos="0" relativeHeight="251674624" behindDoc="0" locked="0" layoutInCell="1" allowOverlap="1" wp14:anchorId="4E16D1DB" wp14:editId="6C4ACD21">
            <wp:simplePos x="0" y="0"/>
            <wp:positionH relativeFrom="margin">
              <wp:align>center</wp:align>
            </wp:positionH>
            <wp:positionV relativeFrom="paragraph">
              <wp:posOffset>883875</wp:posOffset>
            </wp:positionV>
            <wp:extent cx="4726800" cy="4230000"/>
            <wp:effectExtent l="19050" t="19050" r="17145" b="18415"/>
            <wp:wrapTopAndBottom/>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26800" cy="42300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D806D9">
        <w:rPr>
          <w:rFonts w:asciiTheme="majorBidi" w:hAnsiTheme="majorBidi" w:cstheme="majorBidi"/>
          <w:sz w:val="24"/>
          <w:szCs w:val="24"/>
          <w:lang w:val="en-US"/>
        </w:rPr>
        <w:t>infrastructures or the gasification of biomass (IEA, 2018).</w:t>
      </w:r>
    </w:p>
    <w:p w14:paraId="326E573E" w14:textId="7A870074" w:rsidR="005373A1" w:rsidRPr="00D806D9" w:rsidRDefault="005373A1" w:rsidP="00D806D9">
      <w:pPr>
        <w:spacing w:after="0" w:line="480" w:lineRule="auto"/>
        <w:ind w:firstLine="708"/>
        <w:jc w:val="both"/>
        <w:rPr>
          <w:rFonts w:asciiTheme="majorBidi" w:hAnsiTheme="majorBidi" w:cstheme="majorBidi"/>
          <w:sz w:val="24"/>
          <w:szCs w:val="24"/>
          <w:lang w:val="en-US"/>
        </w:rPr>
      </w:pPr>
    </w:p>
    <w:p w14:paraId="5371D970" w14:textId="66A1F2AB" w:rsidR="00661D67" w:rsidRPr="00D806D9" w:rsidRDefault="00661D67" w:rsidP="00D806D9">
      <w:pPr>
        <w:autoSpaceDE w:val="0"/>
        <w:autoSpaceDN w:val="0"/>
        <w:adjustRightInd w:val="0"/>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t>2.2.</w:t>
      </w:r>
      <w:r w:rsidRPr="00D806D9">
        <w:rPr>
          <w:rFonts w:asciiTheme="majorBidi" w:eastAsia="Times New Roman" w:hAnsiTheme="majorBidi" w:cstheme="majorBidi"/>
          <w:b/>
          <w:bCs/>
          <w:color w:val="000000"/>
          <w:sz w:val="24"/>
          <w:szCs w:val="24"/>
          <w:lang w:val="en-US" w:eastAsia="fr-FR" w:bidi="he-IL"/>
        </w:rPr>
        <w:tab/>
        <w:t xml:space="preserve">Current and </w:t>
      </w:r>
      <w:r w:rsidR="00FD6132">
        <w:rPr>
          <w:rFonts w:asciiTheme="majorBidi" w:eastAsia="Times New Roman" w:hAnsiTheme="majorBidi" w:cstheme="majorBidi"/>
          <w:b/>
          <w:bCs/>
          <w:color w:val="000000"/>
          <w:sz w:val="24"/>
          <w:szCs w:val="24"/>
          <w:lang w:val="en-US" w:eastAsia="fr-FR" w:bidi="he-IL"/>
        </w:rPr>
        <w:t>expected</w:t>
      </w:r>
      <w:r w:rsidRPr="00D806D9">
        <w:rPr>
          <w:rFonts w:asciiTheme="majorBidi" w:eastAsia="Times New Roman" w:hAnsiTheme="majorBidi" w:cstheme="majorBidi"/>
          <w:b/>
          <w:bCs/>
          <w:color w:val="000000"/>
          <w:sz w:val="24"/>
          <w:szCs w:val="24"/>
          <w:lang w:val="en-US" w:eastAsia="fr-FR" w:bidi="he-IL"/>
        </w:rPr>
        <w:t xml:space="preserve"> hydrogen us</w:t>
      </w:r>
      <w:r w:rsidR="00FD6132">
        <w:rPr>
          <w:rFonts w:asciiTheme="majorBidi" w:eastAsia="Times New Roman" w:hAnsiTheme="majorBidi" w:cstheme="majorBidi"/>
          <w:b/>
          <w:bCs/>
          <w:color w:val="000000"/>
          <w:sz w:val="24"/>
          <w:szCs w:val="24"/>
          <w:lang w:val="en-US" w:eastAsia="fr-FR" w:bidi="he-IL"/>
        </w:rPr>
        <w:t>age</w:t>
      </w:r>
      <w:r w:rsidRPr="00D806D9">
        <w:rPr>
          <w:rFonts w:asciiTheme="majorBidi" w:eastAsia="Times New Roman" w:hAnsiTheme="majorBidi" w:cstheme="majorBidi"/>
          <w:b/>
          <w:bCs/>
          <w:color w:val="000000"/>
          <w:sz w:val="24"/>
          <w:szCs w:val="24"/>
          <w:lang w:val="en-US" w:eastAsia="fr-FR" w:bidi="he-IL"/>
        </w:rPr>
        <w:t>s</w:t>
      </w:r>
    </w:p>
    <w:p w14:paraId="316038DA" w14:textId="744923F1" w:rsidR="00661D67" w:rsidRPr="00D806D9" w:rsidRDefault="00661D67" w:rsidP="00D806D9">
      <w:pPr>
        <w:spacing w:after="0" w:line="480" w:lineRule="auto"/>
        <w:ind w:firstLine="708"/>
        <w:jc w:val="both"/>
        <w:rPr>
          <w:rFonts w:asciiTheme="majorBidi" w:hAnsiTheme="majorBidi" w:cstheme="majorBidi"/>
          <w:sz w:val="24"/>
          <w:szCs w:val="24"/>
          <w:lang w:val="en-US"/>
        </w:rPr>
      </w:pPr>
    </w:p>
    <w:p w14:paraId="6FC28087" w14:textId="23708D55" w:rsidR="00B17D4A" w:rsidRPr="00D806D9" w:rsidRDefault="00B17D4A" w:rsidP="00D806D9">
      <w:pPr>
        <w:spacing w:after="0" w:line="480" w:lineRule="auto"/>
        <w:ind w:firstLine="709"/>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It is also important to look at the uses that are made of hydrogen and those that are anticipated. Hydrogen is </w:t>
      </w:r>
      <w:r w:rsidR="00926B4A" w:rsidRPr="00D806D9">
        <w:rPr>
          <w:rFonts w:asciiTheme="majorBidi" w:hAnsiTheme="majorBidi" w:cstheme="majorBidi"/>
          <w:sz w:val="24"/>
          <w:szCs w:val="24"/>
          <w:lang w:val="en-US"/>
        </w:rPr>
        <w:t>employed</w:t>
      </w:r>
      <w:r w:rsidRPr="00D806D9">
        <w:rPr>
          <w:rFonts w:asciiTheme="majorBidi" w:hAnsiTheme="majorBidi" w:cstheme="majorBidi"/>
          <w:sz w:val="24"/>
          <w:szCs w:val="24"/>
          <w:lang w:val="en-US"/>
        </w:rPr>
        <w:t xml:space="preserve"> in four main industrial applications today: "oil refining (33%), ammonia production (27%), methanol production (11%)</w:t>
      </w:r>
      <w:r w:rsidR="006645F3">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steel production by direct reduction of iron ore (3%)” (IEA, 2019, p.89). First, under the pressure of increasing oil demand and stricter air quality regulations, the petroleum sector could see an increase in its demand for hydrogen. Indeed, no substitute is available due to the high temperatures required. Accounting today for about 20% of the </w:t>
      </w:r>
      <w:r w:rsidR="006645F3">
        <w:rPr>
          <w:rFonts w:asciiTheme="majorBidi" w:hAnsiTheme="majorBidi" w:cstheme="majorBidi"/>
          <w:sz w:val="24"/>
          <w:szCs w:val="24"/>
          <w:lang w:val="en-US"/>
        </w:rPr>
        <w:t>world’s</w:t>
      </w:r>
      <w:r w:rsidRPr="00D806D9">
        <w:rPr>
          <w:rFonts w:asciiTheme="majorBidi" w:hAnsiTheme="majorBidi" w:cstheme="majorBidi"/>
          <w:sz w:val="24"/>
          <w:szCs w:val="24"/>
          <w:lang w:val="en-US"/>
        </w:rPr>
        <w:t xml:space="preserve"> 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lastRenderedPageBreak/>
        <w:t xml:space="preserve">emissions related to refinery operations (Ibid., p.95), hydrogen production, at equal production capacities, could experiment </w:t>
      </w:r>
      <w:r w:rsidR="006645F3">
        <w:rPr>
          <w:rFonts w:asciiTheme="majorBidi" w:hAnsiTheme="majorBidi" w:cstheme="majorBidi"/>
          <w:sz w:val="24"/>
          <w:szCs w:val="24"/>
          <w:lang w:val="en-US"/>
        </w:rPr>
        <w:t xml:space="preserve">with </w:t>
      </w:r>
      <w:r w:rsidRPr="00D806D9">
        <w:rPr>
          <w:rFonts w:asciiTheme="majorBidi" w:hAnsiTheme="majorBidi" w:cstheme="majorBidi"/>
          <w:sz w:val="24"/>
          <w:szCs w:val="24"/>
          <w:lang w:val="en-US"/>
        </w:rPr>
        <w:t xml:space="preserve">a shift in </w:t>
      </w:r>
      <w:r w:rsidR="000B3148" w:rsidRPr="00D806D9">
        <w:rPr>
          <w:rFonts w:asciiTheme="majorBidi" w:hAnsiTheme="majorBidi" w:cstheme="majorBidi"/>
          <w:sz w:val="24"/>
          <w:szCs w:val="24"/>
          <w:lang w:val="en-US"/>
        </w:rPr>
        <w:t>CO</w:t>
      </w:r>
      <w:r w:rsidR="000B3148"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 xml:space="preserve">emissions from refineries to hydrogen production facilities. Further, regarding the chemical industry, the IEA states that "hydrogen is part of the molecular structure of almost all industrial chemicals, but only </w:t>
      </w:r>
      <w:r w:rsidR="00744BA7" w:rsidRPr="00D806D9">
        <w:rPr>
          <w:rFonts w:asciiTheme="majorBidi" w:hAnsiTheme="majorBidi" w:cstheme="majorBidi"/>
          <w:sz w:val="24"/>
          <w:szCs w:val="24"/>
          <w:lang w:val="en-US"/>
        </w:rPr>
        <w:t>some</w:t>
      </w:r>
      <w:r w:rsidRPr="00D806D9">
        <w:rPr>
          <w:rFonts w:asciiTheme="majorBidi" w:hAnsiTheme="majorBidi" w:cstheme="majorBidi"/>
          <w:sz w:val="24"/>
          <w:szCs w:val="24"/>
          <w:lang w:val="en-US"/>
        </w:rPr>
        <w:t xml:space="preserve"> primary chemicals require large quantities of dedicated hydrogen </w:t>
      </w:r>
      <w:r w:rsidR="00744BA7" w:rsidRPr="00D806D9">
        <w:rPr>
          <w:rFonts w:asciiTheme="majorBidi" w:hAnsiTheme="majorBidi" w:cstheme="majorBidi"/>
          <w:sz w:val="24"/>
          <w:szCs w:val="24"/>
          <w:lang w:val="en-US"/>
        </w:rPr>
        <w:t xml:space="preserve">production </w:t>
      </w:r>
      <w:r w:rsidRPr="00D806D9">
        <w:rPr>
          <w:rFonts w:asciiTheme="majorBidi" w:hAnsiTheme="majorBidi" w:cstheme="majorBidi"/>
          <w:sz w:val="24"/>
          <w:szCs w:val="24"/>
          <w:lang w:val="en-US"/>
        </w:rPr>
        <w:t>for use as feedstocks, notably ammonia and methanol." (Ibid., p.99) Global production of these two chemicals is 65% natural gas-based and 30% coal-based (Ibid.</w:t>
      </w:r>
      <w:r w:rsidR="00B85077" w:rsidRPr="00D806D9">
        <w:rPr>
          <w:rFonts w:asciiTheme="majorBidi" w:hAnsiTheme="majorBidi" w:cstheme="majorBidi"/>
          <w:sz w:val="24"/>
          <w:szCs w:val="24"/>
          <w:lang w:val="en-US"/>
        </w:rPr>
        <w:t>, p.100</w:t>
      </w:r>
      <w:r w:rsidRPr="00D806D9">
        <w:rPr>
          <w:rFonts w:asciiTheme="majorBidi" w:hAnsiTheme="majorBidi" w:cstheme="majorBidi"/>
          <w:sz w:val="24"/>
          <w:szCs w:val="24"/>
          <w:lang w:val="en-US"/>
        </w:rPr>
        <w:t>). This production itself generates hydrogen as a co-product of the reactions</w:t>
      </w:r>
      <w:r w:rsidR="003D22F6">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is used in the sector, distributed to others</w:t>
      </w:r>
      <w:r w:rsidR="006645F3">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or released into the atmosphere. The IEA anticipates an increase in demand for these products for their current us</w:t>
      </w:r>
      <w:r w:rsidR="003D22F6">
        <w:rPr>
          <w:rFonts w:asciiTheme="majorBidi" w:hAnsiTheme="majorBidi" w:cstheme="majorBidi"/>
          <w:sz w:val="24"/>
          <w:szCs w:val="24"/>
          <w:lang w:val="en-US"/>
        </w:rPr>
        <w:t>ages,</w:t>
      </w:r>
      <w:r w:rsidRPr="00D806D9">
        <w:rPr>
          <w:rFonts w:asciiTheme="majorBidi" w:hAnsiTheme="majorBidi" w:cstheme="majorBidi"/>
          <w:sz w:val="24"/>
          <w:szCs w:val="24"/>
          <w:lang w:val="en-US"/>
        </w:rPr>
        <w:t xml:space="preserve"> which would mechanically increase emissions.</w:t>
      </w:r>
      <w:r w:rsidR="00EB095A"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Finally, the steel sector presents the same hydrogen co-product generation and 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releases into the atmosphere.</w:t>
      </w:r>
      <w:r w:rsidR="000B3148" w:rsidRPr="00D806D9">
        <w:rPr>
          <w:rFonts w:asciiTheme="majorBidi" w:hAnsiTheme="majorBidi" w:cstheme="majorBidi"/>
          <w:sz w:val="24"/>
          <w:szCs w:val="24"/>
          <w:lang w:val="en-US"/>
        </w:rPr>
        <w:t xml:space="preserve"> As we see, t</w:t>
      </w:r>
      <w:r w:rsidRPr="00D806D9">
        <w:rPr>
          <w:rFonts w:asciiTheme="majorBidi" w:hAnsiTheme="majorBidi" w:cstheme="majorBidi"/>
          <w:sz w:val="24"/>
          <w:szCs w:val="24"/>
          <w:lang w:val="en-US"/>
        </w:rPr>
        <w:t xml:space="preserve">he current </w:t>
      </w:r>
      <w:r w:rsidR="000B3148" w:rsidRPr="00D806D9">
        <w:rPr>
          <w:rFonts w:asciiTheme="majorBidi" w:hAnsiTheme="majorBidi" w:cstheme="majorBidi"/>
          <w:sz w:val="24"/>
          <w:szCs w:val="24"/>
          <w:lang w:val="en-US"/>
        </w:rPr>
        <w:t xml:space="preserve">main </w:t>
      </w:r>
      <w:r w:rsidRPr="00D806D9">
        <w:rPr>
          <w:rFonts w:asciiTheme="majorBidi" w:hAnsiTheme="majorBidi" w:cstheme="majorBidi"/>
          <w:sz w:val="24"/>
          <w:szCs w:val="24"/>
          <w:lang w:val="en-US"/>
        </w:rPr>
        <w:t xml:space="preserve">hydrogen applications also have a high </w:t>
      </w:r>
      <w:r w:rsidR="000B3148" w:rsidRPr="00D806D9">
        <w:rPr>
          <w:rFonts w:asciiTheme="majorBidi" w:hAnsiTheme="majorBidi" w:cstheme="majorBidi"/>
          <w:sz w:val="24"/>
          <w:szCs w:val="24"/>
          <w:lang w:val="en-US"/>
        </w:rPr>
        <w:t>CO</w:t>
      </w:r>
      <w:r w:rsidR="000B3148"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impact.</w:t>
      </w:r>
    </w:p>
    <w:p w14:paraId="5D586339" w14:textId="747D8898" w:rsidR="00390809" w:rsidRPr="00D806D9" w:rsidRDefault="00B17D4A" w:rsidP="00D806D9">
      <w:pPr>
        <w:spacing w:after="0" w:line="480" w:lineRule="auto"/>
        <w:ind w:firstLine="709"/>
        <w:jc w:val="both"/>
        <w:rPr>
          <w:rFonts w:asciiTheme="majorBidi" w:hAnsiTheme="majorBidi" w:cstheme="majorBidi"/>
          <w:sz w:val="24"/>
          <w:szCs w:val="24"/>
          <w:lang w:val="en-US"/>
        </w:rPr>
      </w:pPr>
      <w:r w:rsidRPr="00D806D9">
        <w:rPr>
          <w:rFonts w:asciiTheme="majorBidi" w:hAnsiTheme="majorBidi" w:cstheme="majorBidi"/>
          <w:sz w:val="24"/>
          <w:szCs w:val="24"/>
          <w:lang w:val="en-US"/>
        </w:rPr>
        <w:t>Simultaneously, many new applications are being developed and some are already at the commercialization stage. First, some efforts can be seen in the hard-to-abate industries. To reduce 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emissions, efforts are being made to use hydrogen as a reducing agent in steel production instead of carbon monoxide derived from fossil fuels (Ibid., p.110). The amount of hydrogen needed for this production could explode, up to 15 times its current level by 2050 according to the IEA (2019). New uses could also emerge in high-temperature industries such as cement. Second, as a secondary energy carrier, hydrogen could be used to generate electricity. The LCH produced thanks to the excess of electrical production generated by intermittent renewable energy sources (such as solar and wind) would reduce the dependence of these technologies on natural cycles (night/day alternation, availability</w:t>
      </w:r>
      <w:r w:rsidR="006645F3">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speed of the wind, etc.) allowing better management of their electrical supply on the network. The possibility of multiplying local </w:t>
      </w:r>
      <w:r w:rsidRPr="00D806D9">
        <w:rPr>
          <w:rFonts w:asciiTheme="majorBidi" w:hAnsiTheme="majorBidi" w:cstheme="majorBidi"/>
          <w:sz w:val="24"/>
          <w:szCs w:val="24"/>
          <w:lang w:val="en-US"/>
        </w:rPr>
        <w:lastRenderedPageBreak/>
        <w:t>electricity generation units would also benefit from the massification of hydrogen</w:t>
      </w:r>
      <w:r w:rsidR="0070036F"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some solutions being already commercially available. Third, LCH is expected to be used in the mobility sector, both "light" </w:t>
      </w:r>
      <w:r w:rsidR="006645F3">
        <w:rPr>
          <w:rFonts w:asciiTheme="majorBidi" w:hAnsiTheme="majorBidi" w:cstheme="majorBidi"/>
          <w:sz w:val="24"/>
          <w:szCs w:val="24"/>
          <w:lang w:val="en-US"/>
        </w:rPr>
        <w:t>and</w:t>
      </w:r>
      <w:r w:rsidRPr="00D806D9">
        <w:rPr>
          <w:rFonts w:asciiTheme="majorBidi" w:hAnsiTheme="majorBidi" w:cstheme="majorBidi"/>
          <w:sz w:val="24"/>
          <w:szCs w:val="24"/>
          <w:lang w:val="en-US"/>
        </w:rPr>
        <w:t xml:space="preserve"> "heavy". Associated </w:t>
      </w:r>
      <w:r w:rsidR="006645F3">
        <w:rPr>
          <w:rFonts w:asciiTheme="majorBidi" w:hAnsiTheme="majorBidi" w:cstheme="majorBidi"/>
          <w:sz w:val="24"/>
          <w:szCs w:val="24"/>
          <w:lang w:val="en-US"/>
        </w:rPr>
        <w:t>with</w:t>
      </w:r>
      <w:r w:rsidRPr="00D806D9">
        <w:rPr>
          <w:rFonts w:asciiTheme="majorBidi" w:hAnsiTheme="majorBidi" w:cstheme="majorBidi"/>
          <w:sz w:val="24"/>
          <w:szCs w:val="24"/>
          <w:lang w:val="en-US"/>
        </w:rPr>
        <w:t xml:space="preserve"> a fuel cell</w:t>
      </w:r>
      <w:r w:rsidRPr="00D806D9">
        <w:rPr>
          <w:rStyle w:val="FootnoteReference"/>
          <w:rFonts w:asciiTheme="majorBidi" w:hAnsiTheme="majorBidi" w:cstheme="majorBidi"/>
          <w:sz w:val="24"/>
          <w:szCs w:val="24"/>
          <w:lang w:val="en-US"/>
        </w:rPr>
        <w:footnoteReference w:id="3"/>
      </w:r>
      <w:r w:rsidRPr="00D806D9">
        <w:rPr>
          <w:rFonts w:asciiTheme="majorBidi" w:hAnsiTheme="majorBidi" w:cstheme="majorBidi"/>
          <w:sz w:val="24"/>
          <w:szCs w:val="24"/>
          <w:lang w:val="en-US"/>
        </w:rPr>
        <w:t xml:space="preserve">, it </w:t>
      </w:r>
      <w:r w:rsidR="00947A6A" w:rsidRPr="00D806D9">
        <w:rPr>
          <w:rFonts w:asciiTheme="majorBidi" w:hAnsiTheme="majorBidi" w:cstheme="majorBidi"/>
          <w:sz w:val="24"/>
          <w:szCs w:val="24"/>
          <w:lang w:val="en-US"/>
        </w:rPr>
        <w:t xml:space="preserve">can be </w:t>
      </w:r>
      <w:r w:rsidR="00A66C73">
        <w:rPr>
          <w:rFonts w:asciiTheme="majorBidi" w:hAnsiTheme="majorBidi" w:cstheme="majorBidi"/>
          <w:sz w:val="24"/>
          <w:szCs w:val="24"/>
          <w:lang w:val="en-US"/>
        </w:rPr>
        <w:t>converted</w:t>
      </w:r>
      <w:r w:rsidR="00947A6A"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into kinetic energy. In its gaseous form, hydrogen combustion releases only water and no carbon compounds (Van Hoecke et al, 2021).</w:t>
      </w:r>
      <w:r w:rsidR="00655B8F" w:rsidRPr="00D806D9">
        <w:rPr>
          <w:rFonts w:asciiTheme="majorBidi" w:hAnsiTheme="majorBidi" w:cstheme="majorBidi"/>
          <w:sz w:val="24"/>
          <w:szCs w:val="24"/>
          <w:lang w:val="en-US"/>
        </w:rPr>
        <w:t xml:space="preserve"> Fourth, LCH is thought to be blended with methane in </w:t>
      </w:r>
      <w:r w:rsidR="007B112E">
        <w:rPr>
          <w:rFonts w:asciiTheme="majorBidi" w:hAnsiTheme="majorBidi" w:cstheme="majorBidi"/>
          <w:sz w:val="24"/>
          <w:szCs w:val="24"/>
          <w:lang w:val="en-US"/>
        </w:rPr>
        <w:t xml:space="preserve">the </w:t>
      </w:r>
      <w:r w:rsidR="00655B8F" w:rsidRPr="00D806D9">
        <w:rPr>
          <w:rFonts w:asciiTheme="majorBidi" w:hAnsiTheme="majorBidi" w:cstheme="majorBidi"/>
          <w:sz w:val="24"/>
          <w:szCs w:val="24"/>
          <w:lang w:val="en-US"/>
        </w:rPr>
        <w:t xml:space="preserve">domestic gas distribution to lower </w:t>
      </w:r>
      <w:r w:rsidR="00DE1E57" w:rsidRPr="00D806D9">
        <w:rPr>
          <w:rFonts w:asciiTheme="majorBidi" w:hAnsiTheme="majorBidi" w:cstheme="majorBidi"/>
          <w:sz w:val="24"/>
          <w:szCs w:val="24"/>
          <w:lang w:val="en-US"/>
        </w:rPr>
        <w:t xml:space="preserve">the related </w:t>
      </w:r>
      <w:r w:rsidR="00655B8F" w:rsidRPr="00D806D9">
        <w:rPr>
          <w:rFonts w:asciiTheme="majorBidi" w:hAnsiTheme="majorBidi" w:cstheme="majorBidi"/>
          <w:sz w:val="24"/>
          <w:szCs w:val="24"/>
          <w:lang w:val="en-US"/>
        </w:rPr>
        <w:t>GHGE.</w:t>
      </w:r>
    </w:p>
    <w:p w14:paraId="3C6EF9A7" w14:textId="0EEE2C0D" w:rsidR="00B17D4A" w:rsidRPr="00D806D9" w:rsidRDefault="0070036F"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It appears clearly that h</w:t>
      </w:r>
      <w:r w:rsidR="00B17D4A" w:rsidRPr="00D806D9">
        <w:rPr>
          <w:rFonts w:asciiTheme="majorBidi" w:hAnsiTheme="majorBidi" w:cstheme="majorBidi"/>
          <w:sz w:val="24"/>
          <w:szCs w:val="24"/>
          <w:lang w:val="en-US"/>
        </w:rPr>
        <w:t>ydrogen is a highly polluting industrial product</w:t>
      </w:r>
      <w:r w:rsidR="007B112E">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in turn enables polluting activities</w:t>
      </w:r>
      <w:r w:rsidR="00B17D4A" w:rsidRPr="00D806D9">
        <w:rPr>
          <w:rFonts w:asciiTheme="majorBidi" w:hAnsiTheme="majorBidi" w:cstheme="majorBidi"/>
          <w:sz w:val="24"/>
          <w:szCs w:val="24"/>
          <w:lang w:val="en-US"/>
        </w:rPr>
        <w:t xml:space="preserve">. While its potential new production </w:t>
      </w:r>
      <w:r w:rsidRPr="00D806D9">
        <w:rPr>
          <w:rFonts w:asciiTheme="majorBidi" w:hAnsiTheme="majorBidi" w:cstheme="majorBidi"/>
          <w:sz w:val="24"/>
          <w:szCs w:val="24"/>
          <w:lang w:val="en-US"/>
        </w:rPr>
        <w:t xml:space="preserve">methods </w:t>
      </w:r>
      <w:r w:rsidR="00B17D4A" w:rsidRPr="00D806D9">
        <w:rPr>
          <w:rFonts w:asciiTheme="majorBidi" w:hAnsiTheme="majorBidi" w:cstheme="majorBidi"/>
          <w:sz w:val="24"/>
          <w:szCs w:val="24"/>
          <w:lang w:val="en-US"/>
        </w:rPr>
        <w:t>and use</w:t>
      </w:r>
      <w:r w:rsidRPr="00D806D9">
        <w:rPr>
          <w:rFonts w:asciiTheme="majorBidi" w:hAnsiTheme="majorBidi" w:cstheme="majorBidi"/>
          <w:sz w:val="24"/>
          <w:szCs w:val="24"/>
          <w:lang w:val="en-US"/>
        </w:rPr>
        <w:t>s</w:t>
      </w:r>
      <w:r w:rsidR="00B17D4A" w:rsidRPr="00D806D9">
        <w:rPr>
          <w:rFonts w:asciiTheme="majorBidi" w:hAnsiTheme="majorBidi" w:cstheme="majorBidi"/>
          <w:sz w:val="24"/>
          <w:szCs w:val="24"/>
          <w:lang w:val="en-US"/>
        </w:rPr>
        <w:t xml:space="preserve"> could represent substantial GHGE reductions, massive technological and </w:t>
      </w:r>
      <w:r w:rsidR="00390809" w:rsidRPr="00D806D9">
        <w:rPr>
          <w:rFonts w:asciiTheme="majorBidi" w:hAnsiTheme="majorBidi" w:cstheme="majorBidi"/>
          <w:sz w:val="24"/>
          <w:szCs w:val="24"/>
          <w:lang w:val="en-US"/>
        </w:rPr>
        <w:t>economic</w:t>
      </w:r>
      <w:r w:rsidR="00B17D4A" w:rsidRPr="00D806D9">
        <w:rPr>
          <w:rFonts w:asciiTheme="majorBidi" w:hAnsiTheme="majorBidi" w:cstheme="majorBidi"/>
          <w:sz w:val="24"/>
          <w:szCs w:val="24"/>
          <w:lang w:val="en-US"/>
        </w:rPr>
        <w:t xml:space="preserve"> challenges still prevent the emergence of a LHC industry.</w:t>
      </w:r>
    </w:p>
    <w:p w14:paraId="086C4EFE" w14:textId="77777777" w:rsidR="00B17D4A" w:rsidRPr="00D806D9" w:rsidRDefault="00B17D4A" w:rsidP="00D806D9">
      <w:pPr>
        <w:spacing w:after="0" w:line="480" w:lineRule="auto"/>
        <w:jc w:val="both"/>
        <w:rPr>
          <w:rFonts w:asciiTheme="majorBidi" w:hAnsiTheme="majorBidi" w:cstheme="majorBidi"/>
          <w:sz w:val="24"/>
          <w:szCs w:val="24"/>
          <w:lang w:val="en-US"/>
        </w:rPr>
      </w:pPr>
    </w:p>
    <w:p w14:paraId="3E1F1926" w14:textId="44DDCC2D" w:rsidR="00B17D4A" w:rsidRPr="00D806D9" w:rsidRDefault="006600CB" w:rsidP="00D806D9">
      <w:pPr>
        <w:autoSpaceDE w:val="0"/>
        <w:autoSpaceDN w:val="0"/>
        <w:adjustRightInd w:val="0"/>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t>2</w:t>
      </w:r>
      <w:r w:rsidR="00B17D4A" w:rsidRPr="00D806D9">
        <w:rPr>
          <w:rFonts w:asciiTheme="majorBidi" w:eastAsia="Times New Roman" w:hAnsiTheme="majorBidi" w:cstheme="majorBidi"/>
          <w:b/>
          <w:bCs/>
          <w:color w:val="000000"/>
          <w:sz w:val="24"/>
          <w:szCs w:val="24"/>
          <w:lang w:val="en-US" w:eastAsia="fr-FR" w:bidi="he-IL"/>
        </w:rPr>
        <w:t>.</w:t>
      </w:r>
      <w:r w:rsidRPr="00D806D9">
        <w:rPr>
          <w:rFonts w:asciiTheme="majorBidi" w:eastAsia="Times New Roman" w:hAnsiTheme="majorBidi" w:cstheme="majorBidi"/>
          <w:b/>
          <w:bCs/>
          <w:color w:val="000000"/>
          <w:sz w:val="24"/>
          <w:szCs w:val="24"/>
          <w:lang w:val="en-US" w:eastAsia="fr-FR" w:bidi="he-IL"/>
        </w:rPr>
        <w:t>3</w:t>
      </w:r>
      <w:r w:rsidR="00C30A3B" w:rsidRPr="00D806D9">
        <w:rPr>
          <w:rFonts w:asciiTheme="majorBidi" w:eastAsia="Times New Roman" w:hAnsiTheme="majorBidi" w:cstheme="majorBidi"/>
          <w:b/>
          <w:bCs/>
          <w:color w:val="000000"/>
          <w:sz w:val="24"/>
          <w:szCs w:val="24"/>
          <w:lang w:val="en-US" w:eastAsia="fr-FR" w:bidi="he-IL"/>
        </w:rPr>
        <w:t>.</w:t>
      </w:r>
      <w:r w:rsidR="00B17D4A" w:rsidRPr="00D806D9">
        <w:rPr>
          <w:rFonts w:asciiTheme="majorBidi" w:eastAsia="Times New Roman" w:hAnsiTheme="majorBidi" w:cstheme="majorBidi"/>
          <w:b/>
          <w:bCs/>
          <w:color w:val="000000"/>
          <w:sz w:val="24"/>
          <w:szCs w:val="24"/>
          <w:lang w:val="en-US" w:eastAsia="fr-FR" w:bidi="he-IL"/>
        </w:rPr>
        <w:tab/>
        <w:t>LCH technologies are environmentally and economically inefficient</w:t>
      </w:r>
    </w:p>
    <w:p w14:paraId="687BBDB4" w14:textId="77777777" w:rsidR="00B025E5" w:rsidRPr="00D806D9" w:rsidRDefault="00B025E5" w:rsidP="00D806D9">
      <w:pPr>
        <w:spacing w:after="0" w:line="480" w:lineRule="auto"/>
        <w:jc w:val="both"/>
        <w:rPr>
          <w:rFonts w:asciiTheme="majorBidi" w:hAnsiTheme="majorBidi" w:cstheme="majorBidi"/>
          <w:b/>
          <w:bCs/>
          <w:sz w:val="24"/>
          <w:szCs w:val="24"/>
          <w:lang w:val="en-US"/>
        </w:rPr>
      </w:pPr>
    </w:p>
    <w:p w14:paraId="77C43ABA" w14:textId="566D369F" w:rsidR="00B17D4A" w:rsidRPr="00D806D9" w:rsidRDefault="000B628F"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M</w:t>
      </w:r>
      <w:r w:rsidR="00B17D4A" w:rsidRPr="00D806D9">
        <w:rPr>
          <w:rFonts w:asciiTheme="majorBidi" w:hAnsiTheme="majorBidi" w:cstheme="majorBidi"/>
          <w:sz w:val="24"/>
          <w:szCs w:val="24"/>
          <w:lang w:val="en-US"/>
        </w:rPr>
        <w:t>any technologies needed to develop a LCH industry are not yet mature and/or present safety, long-term effectiveness</w:t>
      </w:r>
      <w:r w:rsidR="006645F3">
        <w:rPr>
          <w:rFonts w:asciiTheme="majorBidi" w:hAnsiTheme="majorBidi" w:cstheme="majorBidi"/>
          <w:sz w:val="24"/>
          <w:szCs w:val="24"/>
          <w:lang w:val="en-US"/>
        </w:rPr>
        <w:t>,</w:t>
      </w:r>
      <w:r w:rsidR="00B17D4A" w:rsidRPr="00D806D9">
        <w:rPr>
          <w:rFonts w:asciiTheme="majorBidi" w:hAnsiTheme="majorBidi" w:cstheme="majorBidi"/>
          <w:sz w:val="24"/>
          <w:szCs w:val="24"/>
          <w:lang w:val="en-US"/>
        </w:rPr>
        <w:t xml:space="preserve"> and environmental concerns. </w:t>
      </w:r>
      <w:r w:rsidR="00CF0D44" w:rsidRPr="00D806D9">
        <w:rPr>
          <w:rFonts w:asciiTheme="majorBidi" w:hAnsiTheme="majorBidi" w:cstheme="majorBidi"/>
          <w:sz w:val="24"/>
          <w:szCs w:val="24"/>
          <w:lang w:val="en-US"/>
        </w:rPr>
        <w:t>This section wi</w:t>
      </w:r>
      <w:r w:rsidR="00B17D4A" w:rsidRPr="00D806D9">
        <w:rPr>
          <w:rFonts w:asciiTheme="majorBidi" w:hAnsiTheme="majorBidi" w:cstheme="majorBidi"/>
          <w:sz w:val="24"/>
          <w:szCs w:val="24"/>
          <w:lang w:val="en-US"/>
        </w:rPr>
        <w:t xml:space="preserve">ll review specifically two of them after analyzing the </w:t>
      </w:r>
      <w:r w:rsidR="004C71FD" w:rsidRPr="00D806D9">
        <w:rPr>
          <w:rFonts w:asciiTheme="majorBidi" w:hAnsiTheme="majorBidi" w:cstheme="majorBidi"/>
          <w:sz w:val="24"/>
          <w:szCs w:val="24"/>
          <w:lang w:val="en-US"/>
        </w:rPr>
        <w:t>operational challenges</w:t>
      </w:r>
      <w:r w:rsidR="007B112E">
        <w:rPr>
          <w:rFonts w:asciiTheme="majorBidi" w:hAnsiTheme="majorBidi" w:cstheme="majorBidi"/>
          <w:sz w:val="24"/>
          <w:szCs w:val="24"/>
          <w:lang w:val="en-US"/>
        </w:rPr>
        <w:t xml:space="preserve"> that</w:t>
      </w:r>
      <w:r w:rsidR="004C71FD" w:rsidRPr="00D806D9">
        <w:rPr>
          <w:rFonts w:asciiTheme="majorBidi" w:hAnsiTheme="majorBidi" w:cstheme="majorBidi"/>
          <w:sz w:val="24"/>
          <w:szCs w:val="24"/>
          <w:lang w:val="en-US"/>
        </w:rPr>
        <w:t xml:space="preserve"> </w:t>
      </w:r>
      <w:r w:rsidR="00B17D4A" w:rsidRPr="00D806D9">
        <w:rPr>
          <w:rFonts w:asciiTheme="majorBidi" w:hAnsiTheme="majorBidi" w:cstheme="majorBidi"/>
          <w:sz w:val="24"/>
          <w:szCs w:val="24"/>
          <w:lang w:val="en-US"/>
        </w:rPr>
        <w:t xml:space="preserve">hydrogen </w:t>
      </w:r>
      <w:r w:rsidR="004C71FD" w:rsidRPr="00D806D9">
        <w:rPr>
          <w:rFonts w:asciiTheme="majorBidi" w:hAnsiTheme="majorBidi" w:cstheme="majorBidi"/>
          <w:sz w:val="24"/>
          <w:szCs w:val="24"/>
          <w:lang w:val="en-US"/>
        </w:rPr>
        <w:t>poses</w:t>
      </w:r>
      <w:r w:rsidR="00B17D4A" w:rsidRPr="00D806D9">
        <w:rPr>
          <w:rFonts w:asciiTheme="majorBidi" w:hAnsiTheme="majorBidi" w:cstheme="majorBidi"/>
          <w:sz w:val="24"/>
          <w:szCs w:val="24"/>
          <w:lang w:val="en-US"/>
        </w:rPr>
        <w:t>.</w:t>
      </w:r>
      <w:r w:rsidR="00422AB2" w:rsidRPr="00D806D9">
        <w:rPr>
          <w:rFonts w:asciiTheme="majorBidi" w:hAnsiTheme="majorBidi" w:cstheme="majorBidi"/>
          <w:sz w:val="24"/>
          <w:szCs w:val="24"/>
          <w:lang w:val="en-US"/>
        </w:rPr>
        <w:t xml:space="preserve"> </w:t>
      </w:r>
      <w:r w:rsidR="00B17D4A" w:rsidRPr="00D806D9">
        <w:rPr>
          <w:rFonts w:asciiTheme="majorBidi" w:hAnsiTheme="majorBidi" w:cstheme="majorBidi"/>
          <w:sz w:val="24"/>
          <w:szCs w:val="24"/>
          <w:lang w:val="en-US"/>
        </w:rPr>
        <w:t>First, LCH pose</w:t>
      </w:r>
      <w:r w:rsidR="00EA22E7" w:rsidRPr="00D806D9">
        <w:rPr>
          <w:rFonts w:asciiTheme="majorBidi" w:hAnsiTheme="majorBidi" w:cstheme="majorBidi"/>
          <w:sz w:val="24"/>
          <w:szCs w:val="24"/>
          <w:lang w:val="en-US"/>
        </w:rPr>
        <w:t>s</w:t>
      </w:r>
      <w:r w:rsidR="00B17D4A" w:rsidRPr="00D806D9">
        <w:rPr>
          <w:rFonts w:asciiTheme="majorBidi" w:hAnsiTheme="majorBidi" w:cstheme="majorBidi"/>
          <w:sz w:val="24"/>
          <w:szCs w:val="24"/>
          <w:lang w:val="en-US"/>
        </w:rPr>
        <w:t xml:space="preserve"> certain problems that question the capacity to</w:t>
      </w:r>
      <w:r w:rsidR="00EA22E7" w:rsidRPr="00D806D9">
        <w:rPr>
          <w:rFonts w:asciiTheme="majorBidi" w:hAnsiTheme="majorBidi" w:cstheme="majorBidi"/>
          <w:sz w:val="24"/>
          <w:szCs w:val="24"/>
          <w:lang w:val="en-US"/>
        </w:rPr>
        <w:t xml:space="preserve"> rapidly</w:t>
      </w:r>
      <w:r w:rsidR="00B17D4A" w:rsidRPr="00D806D9">
        <w:rPr>
          <w:rFonts w:asciiTheme="majorBidi" w:hAnsiTheme="majorBidi" w:cstheme="majorBidi"/>
          <w:sz w:val="24"/>
          <w:szCs w:val="24"/>
          <w:lang w:val="en-US"/>
        </w:rPr>
        <w:t xml:space="preserve"> deploy technically appropriate, safe</w:t>
      </w:r>
      <w:r w:rsidR="006645F3">
        <w:rPr>
          <w:rFonts w:asciiTheme="majorBidi" w:hAnsiTheme="majorBidi" w:cstheme="majorBidi"/>
          <w:sz w:val="24"/>
          <w:szCs w:val="24"/>
          <w:lang w:val="en-US"/>
        </w:rPr>
        <w:t>,</w:t>
      </w:r>
      <w:r w:rsidR="00B17D4A" w:rsidRPr="00D806D9">
        <w:rPr>
          <w:rFonts w:asciiTheme="majorBidi" w:hAnsiTheme="majorBidi" w:cstheme="majorBidi"/>
          <w:sz w:val="24"/>
          <w:szCs w:val="24"/>
          <w:lang w:val="en-US"/>
        </w:rPr>
        <w:t xml:space="preserve"> and competitive solutions on a large scale. Hydrogen is highly flammable and has a low energy density</w:t>
      </w:r>
      <w:r w:rsidR="007B112E">
        <w:rPr>
          <w:rFonts w:asciiTheme="majorBidi" w:hAnsiTheme="majorBidi" w:cstheme="majorBidi"/>
          <w:sz w:val="24"/>
          <w:szCs w:val="24"/>
          <w:lang w:val="en-US"/>
        </w:rPr>
        <w:t>,</w:t>
      </w:r>
      <w:r w:rsidR="00B17D4A" w:rsidRPr="00D806D9">
        <w:rPr>
          <w:rFonts w:asciiTheme="majorBidi" w:hAnsiTheme="majorBidi" w:cstheme="majorBidi"/>
          <w:sz w:val="24"/>
          <w:szCs w:val="24"/>
          <w:lang w:val="en-US"/>
        </w:rPr>
        <w:t xml:space="preserve"> which means that </w:t>
      </w:r>
      <w:r w:rsidR="00785BF1" w:rsidRPr="00D806D9">
        <w:rPr>
          <w:rFonts w:asciiTheme="majorBidi" w:hAnsiTheme="majorBidi" w:cstheme="majorBidi"/>
          <w:sz w:val="24"/>
          <w:szCs w:val="24"/>
          <w:lang w:val="en-US"/>
        </w:rPr>
        <w:t xml:space="preserve">its </w:t>
      </w:r>
      <w:r w:rsidR="00B17D4A" w:rsidRPr="00D806D9">
        <w:rPr>
          <w:rFonts w:asciiTheme="majorBidi" w:hAnsiTheme="majorBidi" w:cstheme="majorBidi"/>
          <w:sz w:val="24"/>
          <w:szCs w:val="24"/>
          <w:lang w:val="en-US"/>
        </w:rPr>
        <w:t>"</w:t>
      </w:r>
      <w:r w:rsidR="00785BF1" w:rsidRPr="00D806D9">
        <w:rPr>
          <w:rFonts w:asciiTheme="majorBidi" w:hAnsiTheme="majorBidi" w:cstheme="majorBidi"/>
          <w:sz w:val="24"/>
          <w:szCs w:val="24"/>
          <w:lang w:val="en-US"/>
        </w:rPr>
        <w:t>compression, liquefaction or incorporation</w:t>
      </w:r>
      <w:r w:rsidR="00B17D4A" w:rsidRPr="00D806D9">
        <w:rPr>
          <w:rFonts w:asciiTheme="majorBidi" w:hAnsiTheme="majorBidi" w:cstheme="majorBidi"/>
          <w:sz w:val="24"/>
          <w:szCs w:val="24"/>
          <w:lang w:val="en-US"/>
        </w:rPr>
        <w:t xml:space="preserve"> [...] into larger molecules" </w:t>
      </w:r>
      <w:r w:rsidR="00785BF1" w:rsidRPr="00D806D9">
        <w:rPr>
          <w:rFonts w:asciiTheme="majorBidi" w:hAnsiTheme="majorBidi" w:cstheme="majorBidi"/>
          <w:sz w:val="24"/>
          <w:szCs w:val="24"/>
          <w:lang w:val="en-US"/>
        </w:rPr>
        <w:t xml:space="preserve">is necessary </w:t>
      </w:r>
      <w:r w:rsidR="00B17D4A" w:rsidRPr="00D806D9">
        <w:rPr>
          <w:rFonts w:asciiTheme="majorBidi" w:hAnsiTheme="majorBidi" w:cstheme="majorBidi"/>
          <w:sz w:val="24"/>
          <w:szCs w:val="24"/>
          <w:lang w:val="en-US"/>
        </w:rPr>
        <w:t>(IEA, 2019, p.</w:t>
      </w:r>
      <w:r w:rsidR="00785BF1" w:rsidRPr="00D806D9">
        <w:rPr>
          <w:rFonts w:asciiTheme="majorBidi" w:hAnsiTheme="majorBidi" w:cstheme="majorBidi"/>
          <w:sz w:val="24"/>
          <w:szCs w:val="24"/>
          <w:lang w:val="en-US"/>
        </w:rPr>
        <w:t>70</w:t>
      </w:r>
      <w:r w:rsidR="00B17D4A" w:rsidRPr="00D806D9">
        <w:rPr>
          <w:rFonts w:asciiTheme="majorBidi" w:hAnsiTheme="majorBidi" w:cstheme="majorBidi"/>
          <w:sz w:val="24"/>
          <w:szCs w:val="24"/>
          <w:lang w:val="en-US"/>
        </w:rPr>
        <w:t>) to be stored and</w:t>
      </w:r>
      <w:r w:rsidR="008F4D32" w:rsidRPr="00D806D9">
        <w:rPr>
          <w:rFonts w:asciiTheme="majorBidi" w:hAnsiTheme="majorBidi" w:cstheme="majorBidi"/>
          <w:sz w:val="24"/>
          <w:szCs w:val="24"/>
          <w:lang w:val="en-US"/>
        </w:rPr>
        <w:t>/or</w:t>
      </w:r>
      <w:r w:rsidR="00B17D4A" w:rsidRPr="00D806D9">
        <w:rPr>
          <w:rFonts w:asciiTheme="majorBidi" w:hAnsiTheme="majorBidi" w:cstheme="majorBidi"/>
          <w:sz w:val="24"/>
          <w:szCs w:val="24"/>
          <w:lang w:val="en-US"/>
        </w:rPr>
        <w:t xml:space="preserve"> transported. The solutions available today only allow this on a small scale. However, LCH massive production would require operating at a completely different level to guarantee energy supplies. The only </w:t>
      </w:r>
      <w:r w:rsidR="006645F3">
        <w:rPr>
          <w:rFonts w:asciiTheme="majorBidi" w:hAnsiTheme="majorBidi" w:cstheme="majorBidi"/>
          <w:sz w:val="24"/>
          <w:szCs w:val="24"/>
          <w:lang w:val="en-US"/>
        </w:rPr>
        <w:t>large-scale</w:t>
      </w:r>
      <w:r w:rsidR="00B17D4A" w:rsidRPr="00D806D9">
        <w:rPr>
          <w:rFonts w:asciiTheme="majorBidi" w:hAnsiTheme="majorBidi" w:cstheme="majorBidi"/>
          <w:sz w:val="24"/>
          <w:szCs w:val="24"/>
          <w:lang w:val="en-US"/>
        </w:rPr>
        <w:t xml:space="preserve"> storage solution currently envisaged is geological, in particular in salt caves. Geographically limited, this </w:t>
      </w:r>
      <w:r w:rsidR="00B17D4A" w:rsidRPr="00D806D9">
        <w:rPr>
          <w:rFonts w:asciiTheme="majorBidi" w:hAnsiTheme="majorBidi" w:cstheme="majorBidi"/>
          <w:sz w:val="24"/>
          <w:szCs w:val="24"/>
          <w:lang w:val="en-US"/>
        </w:rPr>
        <w:lastRenderedPageBreak/>
        <w:t>possibility could also see hydrogen compete with CO</w:t>
      </w:r>
      <w:r w:rsidR="00B17D4A" w:rsidRPr="00D806D9">
        <w:rPr>
          <w:rFonts w:asciiTheme="majorBidi" w:hAnsiTheme="majorBidi" w:cstheme="majorBidi"/>
          <w:sz w:val="24"/>
          <w:szCs w:val="24"/>
          <w:vertAlign w:val="subscript"/>
          <w:lang w:val="en-US"/>
        </w:rPr>
        <w:t xml:space="preserve">2 </w:t>
      </w:r>
      <w:r w:rsidR="00B17D4A" w:rsidRPr="00D806D9">
        <w:rPr>
          <w:rFonts w:asciiTheme="majorBidi" w:hAnsiTheme="majorBidi" w:cstheme="majorBidi"/>
          <w:sz w:val="24"/>
          <w:szCs w:val="24"/>
          <w:lang w:val="en-US"/>
        </w:rPr>
        <w:t>(see below) for their respective underground storage</w:t>
      </w:r>
      <w:r w:rsidR="00AD05F4" w:rsidRPr="00D806D9">
        <w:rPr>
          <w:rFonts w:asciiTheme="majorBidi" w:hAnsiTheme="majorBidi" w:cstheme="majorBidi"/>
          <w:sz w:val="24"/>
          <w:szCs w:val="24"/>
          <w:lang w:val="en-US"/>
        </w:rPr>
        <w:t xml:space="preserve">. </w:t>
      </w:r>
      <w:r w:rsidR="00B17D4A" w:rsidRPr="00D806D9">
        <w:rPr>
          <w:rFonts w:asciiTheme="majorBidi" w:hAnsiTheme="majorBidi" w:cstheme="majorBidi"/>
          <w:sz w:val="24"/>
          <w:szCs w:val="24"/>
          <w:lang w:val="en-US"/>
        </w:rPr>
        <w:t>Thus, Andersson and Grönkvist (2019, p.11915) conclude that “storage technologies are still being very actively researched, indicating that substantial advances are still to be made</w:t>
      </w:r>
      <w:r w:rsidR="00AD05F4" w:rsidRPr="00D806D9">
        <w:rPr>
          <w:rFonts w:asciiTheme="majorBidi" w:hAnsiTheme="majorBidi" w:cstheme="majorBidi"/>
          <w:sz w:val="24"/>
          <w:szCs w:val="24"/>
          <w:lang w:val="en-US"/>
        </w:rPr>
        <w:t>” and that “</w:t>
      </w:r>
      <w:r w:rsidR="00B17D4A" w:rsidRPr="00D806D9">
        <w:rPr>
          <w:rFonts w:asciiTheme="majorBidi" w:hAnsiTheme="majorBidi" w:cstheme="majorBidi"/>
          <w:sz w:val="24"/>
          <w:szCs w:val="24"/>
          <w:lang w:val="en-US"/>
        </w:rPr>
        <w:t>a detailed, accurate economic comparison of all hydrogen options including investment costs is presently not accomplishable."</w:t>
      </w:r>
      <w:r w:rsidR="008F4D32" w:rsidRPr="00D806D9">
        <w:rPr>
          <w:rFonts w:asciiTheme="majorBidi" w:hAnsiTheme="majorBidi" w:cstheme="majorBidi"/>
          <w:sz w:val="24"/>
          <w:szCs w:val="24"/>
          <w:lang w:val="en-US"/>
        </w:rPr>
        <w:t xml:space="preserve"> </w:t>
      </w:r>
      <w:r w:rsidR="003172F1" w:rsidRPr="00D806D9">
        <w:rPr>
          <w:rFonts w:asciiTheme="majorBidi" w:hAnsiTheme="majorBidi" w:cstheme="majorBidi"/>
          <w:sz w:val="24"/>
          <w:szCs w:val="24"/>
          <w:lang w:val="en-US"/>
        </w:rPr>
        <w:t>Besides</w:t>
      </w:r>
      <w:r w:rsidR="00B17D4A" w:rsidRPr="00D806D9">
        <w:rPr>
          <w:rFonts w:asciiTheme="majorBidi" w:hAnsiTheme="majorBidi" w:cstheme="majorBidi"/>
          <w:sz w:val="24"/>
          <w:szCs w:val="24"/>
          <w:lang w:val="en-US"/>
        </w:rPr>
        <w:t>,</w:t>
      </w:r>
      <w:r w:rsidR="003172F1" w:rsidRPr="00D806D9">
        <w:rPr>
          <w:rFonts w:asciiTheme="majorBidi" w:hAnsiTheme="majorBidi" w:cstheme="majorBidi"/>
          <w:sz w:val="24"/>
          <w:szCs w:val="24"/>
          <w:lang w:val="en-US"/>
        </w:rPr>
        <w:t xml:space="preserve"> hydrogen </w:t>
      </w:r>
      <w:r w:rsidR="00B17D4A" w:rsidRPr="00D806D9">
        <w:rPr>
          <w:rFonts w:asciiTheme="majorBidi" w:hAnsiTheme="majorBidi" w:cstheme="majorBidi"/>
          <w:sz w:val="24"/>
          <w:szCs w:val="24"/>
          <w:lang w:val="en-US"/>
        </w:rPr>
        <w:t xml:space="preserve">transformation processes allowing easier handling and its transport are extremely energy consuming and still </w:t>
      </w:r>
      <w:r w:rsidR="007B112E">
        <w:rPr>
          <w:rFonts w:asciiTheme="majorBidi" w:hAnsiTheme="majorBidi" w:cstheme="majorBidi"/>
          <w:sz w:val="24"/>
          <w:szCs w:val="24"/>
          <w:lang w:val="en-US"/>
        </w:rPr>
        <w:t>un</w:t>
      </w:r>
      <w:r w:rsidR="00B17D4A" w:rsidRPr="00D806D9">
        <w:rPr>
          <w:rFonts w:asciiTheme="majorBidi" w:hAnsiTheme="majorBidi" w:cstheme="majorBidi"/>
          <w:sz w:val="24"/>
          <w:szCs w:val="24"/>
          <w:lang w:val="en-US"/>
        </w:rPr>
        <w:t xml:space="preserve">safe. Indeed, its liquefaction for instance implies cooling it </w:t>
      </w:r>
      <w:r w:rsidR="003172F1" w:rsidRPr="00D806D9">
        <w:rPr>
          <w:rFonts w:asciiTheme="majorBidi" w:hAnsiTheme="majorBidi" w:cstheme="majorBidi"/>
          <w:sz w:val="24"/>
          <w:szCs w:val="24"/>
          <w:lang w:val="en-US"/>
        </w:rPr>
        <w:t xml:space="preserve">at </w:t>
      </w:r>
      <w:r w:rsidR="00AD05F4" w:rsidRPr="00D806D9">
        <w:rPr>
          <w:rFonts w:asciiTheme="majorBidi" w:hAnsiTheme="majorBidi" w:cstheme="majorBidi"/>
          <w:sz w:val="24"/>
          <w:szCs w:val="24"/>
          <w:lang w:val="en-US"/>
        </w:rPr>
        <w:t>-</w:t>
      </w:r>
      <w:r w:rsidR="00B17D4A" w:rsidRPr="00D806D9">
        <w:rPr>
          <w:rFonts w:asciiTheme="majorBidi" w:hAnsiTheme="majorBidi" w:cstheme="majorBidi"/>
          <w:sz w:val="24"/>
          <w:szCs w:val="24"/>
          <w:lang w:val="en-US"/>
        </w:rPr>
        <w:t>25</w:t>
      </w:r>
      <w:r w:rsidR="003172F1" w:rsidRPr="00D806D9">
        <w:rPr>
          <w:rFonts w:asciiTheme="majorBidi" w:hAnsiTheme="majorBidi" w:cstheme="majorBidi"/>
          <w:sz w:val="24"/>
          <w:szCs w:val="24"/>
          <w:lang w:val="en-US"/>
        </w:rPr>
        <w:t xml:space="preserve">3 </w:t>
      </w:r>
      <w:r w:rsidR="00B17D4A" w:rsidRPr="00D806D9">
        <w:rPr>
          <w:rFonts w:asciiTheme="majorBidi" w:hAnsiTheme="majorBidi" w:cstheme="majorBidi"/>
          <w:sz w:val="24"/>
          <w:szCs w:val="24"/>
          <w:lang w:val="en-US"/>
        </w:rPr>
        <w:t>°C representing between "</w:t>
      </w:r>
      <w:r w:rsidR="003172F1" w:rsidRPr="00D806D9">
        <w:rPr>
          <w:rFonts w:asciiTheme="majorBidi" w:hAnsiTheme="majorBidi" w:cstheme="majorBidi"/>
          <w:sz w:val="24"/>
          <w:szCs w:val="24"/>
          <w:lang w:val="en-US"/>
        </w:rPr>
        <w:t xml:space="preserve">about </w:t>
      </w:r>
      <w:r w:rsidR="00B17D4A" w:rsidRPr="00D806D9">
        <w:rPr>
          <w:rFonts w:asciiTheme="majorBidi" w:hAnsiTheme="majorBidi" w:cstheme="majorBidi"/>
          <w:sz w:val="24"/>
          <w:szCs w:val="24"/>
          <w:lang w:val="en-US"/>
        </w:rPr>
        <w:t>25</w:t>
      </w:r>
      <w:r w:rsidR="003172F1" w:rsidRPr="00D806D9">
        <w:rPr>
          <w:rFonts w:asciiTheme="majorBidi" w:hAnsiTheme="majorBidi" w:cstheme="majorBidi"/>
          <w:sz w:val="24"/>
          <w:szCs w:val="24"/>
          <w:lang w:val="en-US"/>
        </w:rPr>
        <w:t>%</w:t>
      </w:r>
      <w:r w:rsidR="00B17D4A" w:rsidRPr="00D806D9">
        <w:rPr>
          <w:rFonts w:asciiTheme="majorBidi" w:hAnsiTheme="majorBidi" w:cstheme="majorBidi"/>
          <w:sz w:val="24"/>
          <w:szCs w:val="24"/>
          <w:lang w:val="en-US"/>
        </w:rPr>
        <w:t xml:space="preserve"> and 35% of the initial quantity of hydrogen" (</w:t>
      </w:r>
      <w:proofErr w:type="spellStart"/>
      <w:r w:rsidR="003172F1" w:rsidRPr="00D806D9">
        <w:rPr>
          <w:rFonts w:asciiTheme="majorBidi" w:hAnsiTheme="majorBidi" w:cstheme="majorBidi"/>
          <w:sz w:val="24"/>
          <w:szCs w:val="24"/>
          <w:lang w:val="en-US"/>
        </w:rPr>
        <w:t>Ohlig</w:t>
      </w:r>
      <w:proofErr w:type="spellEnd"/>
      <w:r w:rsidR="003172F1" w:rsidRPr="00D806D9">
        <w:rPr>
          <w:rFonts w:asciiTheme="majorBidi" w:hAnsiTheme="majorBidi" w:cstheme="majorBidi"/>
          <w:sz w:val="24"/>
          <w:szCs w:val="24"/>
          <w:lang w:val="en-US"/>
        </w:rPr>
        <w:t xml:space="preserve"> &amp; Decker, 2014</w:t>
      </w:r>
      <w:r w:rsidR="00B17D4A" w:rsidRPr="00D806D9">
        <w:rPr>
          <w:rFonts w:asciiTheme="majorBidi" w:hAnsiTheme="majorBidi" w:cstheme="majorBidi"/>
          <w:sz w:val="24"/>
          <w:szCs w:val="24"/>
          <w:lang w:val="en-US"/>
        </w:rPr>
        <w:t xml:space="preserve">). LOHC such as ammonia and methanol can be used but the energy losses induced by the successive conversions imply costs and contradict the goal of carbon efficiency (Anderson &amp; Broderick, 2017). Moreover, as the gases considered are extremely flammable, even toxic (Preuster et al., 2021), many technological and regulatory issues arise to ensure </w:t>
      </w:r>
      <w:r w:rsidR="006645F3">
        <w:rPr>
          <w:rFonts w:asciiTheme="majorBidi" w:hAnsiTheme="majorBidi" w:cstheme="majorBidi"/>
          <w:sz w:val="24"/>
          <w:szCs w:val="24"/>
          <w:lang w:val="en-US"/>
        </w:rPr>
        <w:t>process</w:t>
      </w:r>
      <w:r w:rsidR="00B17D4A" w:rsidRPr="00D806D9">
        <w:rPr>
          <w:rFonts w:asciiTheme="majorBidi" w:hAnsiTheme="majorBidi" w:cstheme="majorBidi"/>
          <w:sz w:val="24"/>
          <w:szCs w:val="24"/>
          <w:lang w:val="en-US"/>
        </w:rPr>
        <w:t xml:space="preserve"> </w:t>
      </w:r>
      <w:r w:rsidR="00195E85" w:rsidRPr="00D806D9">
        <w:rPr>
          <w:rFonts w:asciiTheme="majorBidi" w:hAnsiTheme="majorBidi" w:cstheme="majorBidi"/>
          <w:sz w:val="24"/>
          <w:szCs w:val="24"/>
          <w:lang w:val="en-US"/>
        </w:rPr>
        <w:t xml:space="preserve">safety </w:t>
      </w:r>
      <w:r w:rsidR="00B17D4A" w:rsidRPr="00D806D9">
        <w:rPr>
          <w:rFonts w:asciiTheme="majorBidi" w:hAnsiTheme="majorBidi" w:cstheme="majorBidi"/>
          <w:sz w:val="24"/>
          <w:szCs w:val="24"/>
          <w:lang w:val="en-US"/>
        </w:rPr>
        <w:t xml:space="preserve">throughout the value chain. Finally, regarding distribution, regional pipelines </w:t>
      </w:r>
      <w:r w:rsidR="00FF49FE">
        <w:rPr>
          <w:rFonts w:asciiTheme="majorBidi" w:hAnsiTheme="majorBidi" w:cstheme="majorBidi"/>
          <w:sz w:val="24"/>
          <w:szCs w:val="24"/>
          <w:lang w:val="en-US"/>
        </w:rPr>
        <w:t>are</w:t>
      </w:r>
      <w:r w:rsidR="00B17D4A" w:rsidRPr="00D806D9">
        <w:rPr>
          <w:rFonts w:asciiTheme="majorBidi" w:hAnsiTheme="majorBidi" w:cstheme="majorBidi"/>
          <w:sz w:val="24"/>
          <w:szCs w:val="24"/>
          <w:lang w:val="en-US"/>
        </w:rPr>
        <w:t xml:space="preserve"> the only solution</w:t>
      </w:r>
      <w:r w:rsidR="00195E85" w:rsidRPr="00D806D9">
        <w:rPr>
          <w:rFonts w:asciiTheme="majorBidi" w:hAnsiTheme="majorBidi" w:cstheme="majorBidi"/>
          <w:sz w:val="24"/>
          <w:szCs w:val="24"/>
          <w:lang w:val="en-US"/>
        </w:rPr>
        <w:t xml:space="preserve"> </w:t>
      </w:r>
      <w:r w:rsidR="00B17D4A" w:rsidRPr="00D806D9">
        <w:rPr>
          <w:rFonts w:asciiTheme="majorBidi" w:hAnsiTheme="majorBidi" w:cstheme="majorBidi"/>
          <w:sz w:val="24"/>
          <w:szCs w:val="24"/>
          <w:lang w:val="en-US"/>
        </w:rPr>
        <w:t xml:space="preserve">technically available and accessible </w:t>
      </w:r>
      <w:r w:rsidR="00195E85" w:rsidRPr="00D806D9">
        <w:rPr>
          <w:rFonts w:asciiTheme="majorBidi" w:hAnsiTheme="majorBidi" w:cstheme="majorBidi"/>
          <w:sz w:val="24"/>
          <w:szCs w:val="24"/>
          <w:lang w:val="en-US"/>
        </w:rPr>
        <w:t xml:space="preserve">today </w:t>
      </w:r>
      <w:r w:rsidR="00B17D4A" w:rsidRPr="00D806D9">
        <w:rPr>
          <w:rFonts w:asciiTheme="majorBidi" w:hAnsiTheme="majorBidi" w:cstheme="majorBidi"/>
          <w:sz w:val="24"/>
          <w:szCs w:val="24"/>
          <w:lang w:val="en-US"/>
        </w:rPr>
        <w:t xml:space="preserve">at </w:t>
      </w:r>
      <w:r w:rsidR="006645F3">
        <w:rPr>
          <w:rFonts w:asciiTheme="majorBidi" w:hAnsiTheme="majorBidi" w:cstheme="majorBidi"/>
          <w:sz w:val="24"/>
          <w:szCs w:val="24"/>
          <w:lang w:val="en-US"/>
        </w:rPr>
        <w:t xml:space="preserve">a </w:t>
      </w:r>
      <w:r w:rsidR="00B17D4A" w:rsidRPr="00D806D9">
        <w:rPr>
          <w:rFonts w:asciiTheme="majorBidi" w:hAnsiTheme="majorBidi" w:cstheme="majorBidi"/>
          <w:sz w:val="24"/>
          <w:szCs w:val="24"/>
          <w:lang w:val="en-US"/>
        </w:rPr>
        <w:t xml:space="preserve">low cost for </w:t>
      </w:r>
      <w:r w:rsidR="006645F3">
        <w:rPr>
          <w:rFonts w:asciiTheme="majorBidi" w:hAnsiTheme="majorBidi" w:cstheme="majorBidi"/>
          <w:sz w:val="24"/>
          <w:szCs w:val="24"/>
          <w:lang w:val="en-US"/>
        </w:rPr>
        <w:t>large-scale</w:t>
      </w:r>
      <w:r w:rsidR="00B17D4A" w:rsidRPr="00D806D9">
        <w:rPr>
          <w:rFonts w:asciiTheme="majorBidi" w:hAnsiTheme="majorBidi" w:cstheme="majorBidi"/>
          <w:sz w:val="24"/>
          <w:szCs w:val="24"/>
          <w:lang w:val="en-US"/>
        </w:rPr>
        <w:t xml:space="preserve"> applications. However, being "the smallest molecule [...] [hydrogen] can easily escape through joints and cracks in any piping or storage system" (Van Hoecke et al., 2021, p.834) constituting a</w:t>
      </w:r>
      <w:r w:rsidR="00441C97" w:rsidRPr="00D806D9">
        <w:rPr>
          <w:rFonts w:asciiTheme="majorBidi" w:hAnsiTheme="majorBidi" w:cstheme="majorBidi"/>
          <w:sz w:val="24"/>
          <w:szCs w:val="24"/>
          <w:lang w:val="en-US"/>
        </w:rPr>
        <w:t xml:space="preserve">n additional </w:t>
      </w:r>
      <w:r w:rsidR="00B17D4A" w:rsidRPr="00D806D9">
        <w:rPr>
          <w:rFonts w:asciiTheme="majorBidi" w:hAnsiTheme="majorBidi" w:cstheme="majorBidi"/>
          <w:sz w:val="24"/>
          <w:szCs w:val="24"/>
          <w:lang w:val="en-US"/>
        </w:rPr>
        <w:t>leakage</w:t>
      </w:r>
      <w:r w:rsidR="00441C97" w:rsidRPr="00D806D9">
        <w:rPr>
          <w:rFonts w:asciiTheme="majorBidi" w:hAnsiTheme="majorBidi" w:cstheme="majorBidi"/>
          <w:sz w:val="24"/>
          <w:szCs w:val="24"/>
          <w:lang w:val="en-US"/>
        </w:rPr>
        <w:t xml:space="preserve"> possibly,</w:t>
      </w:r>
      <w:r w:rsidR="00B17D4A" w:rsidRPr="00D806D9">
        <w:rPr>
          <w:rFonts w:asciiTheme="majorBidi" w:hAnsiTheme="majorBidi" w:cstheme="majorBidi"/>
          <w:sz w:val="24"/>
          <w:szCs w:val="24"/>
          <w:lang w:val="en-US"/>
        </w:rPr>
        <w:t xml:space="preserve"> thus </w:t>
      </w:r>
      <w:r w:rsidR="00441C97" w:rsidRPr="00D806D9">
        <w:rPr>
          <w:rFonts w:asciiTheme="majorBidi" w:hAnsiTheme="majorBidi" w:cstheme="majorBidi"/>
          <w:sz w:val="24"/>
          <w:szCs w:val="24"/>
          <w:lang w:val="en-US"/>
        </w:rPr>
        <w:t xml:space="preserve">bringing </w:t>
      </w:r>
      <w:r w:rsidR="00B17D4A" w:rsidRPr="00D806D9">
        <w:rPr>
          <w:rFonts w:asciiTheme="majorBidi" w:hAnsiTheme="majorBidi" w:cstheme="majorBidi"/>
          <w:sz w:val="24"/>
          <w:szCs w:val="24"/>
          <w:lang w:val="en-US"/>
        </w:rPr>
        <w:t>safety, cost</w:t>
      </w:r>
      <w:r w:rsidR="000E6654">
        <w:rPr>
          <w:rFonts w:asciiTheme="majorBidi" w:hAnsiTheme="majorBidi" w:cstheme="majorBidi"/>
          <w:sz w:val="24"/>
          <w:szCs w:val="24"/>
          <w:lang w:val="en-US"/>
        </w:rPr>
        <w:t>,</w:t>
      </w:r>
      <w:r w:rsidR="00B17D4A" w:rsidRPr="00D806D9">
        <w:rPr>
          <w:rFonts w:asciiTheme="majorBidi" w:hAnsiTheme="majorBidi" w:cstheme="majorBidi"/>
          <w:sz w:val="24"/>
          <w:szCs w:val="24"/>
          <w:lang w:val="en-US"/>
        </w:rPr>
        <w:t xml:space="preserve"> and environmental concerns. </w:t>
      </w:r>
    </w:p>
    <w:p w14:paraId="3E0DD97F" w14:textId="5416AF3A" w:rsidR="00B17D4A" w:rsidRPr="00D806D9" w:rsidRDefault="00B17D4A"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Secondly,</w:t>
      </w:r>
      <w:r w:rsidR="00195E85"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carbon capture presents problems that seem insoluble. CCS corresponds to geological sequestration and CCUS to its coupling with the objective of its </w:t>
      </w:r>
      <w:r w:rsidR="000E1937"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partial</w:t>
      </w:r>
      <w:r w:rsidR="000E1937"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economic valorization. </w:t>
      </w:r>
      <w:r w:rsidR="000E1937" w:rsidRPr="00D806D9">
        <w:rPr>
          <w:rFonts w:asciiTheme="majorBidi" w:hAnsiTheme="majorBidi" w:cstheme="majorBidi"/>
          <w:sz w:val="24"/>
          <w:szCs w:val="24"/>
          <w:lang w:val="en-US"/>
        </w:rPr>
        <w:t xml:space="preserve">Becoming </w:t>
      </w:r>
      <w:r w:rsidRPr="00D806D9">
        <w:rPr>
          <w:rFonts w:asciiTheme="majorBidi" w:hAnsiTheme="majorBidi" w:cstheme="majorBidi"/>
          <w:sz w:val="24"/>
          <w:szCs w:val="24"/>
          <w:lang w:val="en-US"/>
        </w:rPr>
        <w:t>supercritical</w:t>
      </w:r>
      <w:r w:rsidRPr="00D806D9">
        <w:rPr>
          <w:rStyle w:val="FootnoteReference"/>
          <w:rFonts w:asciiTheme="majorBidi" w:hAnsiTheme="majorBidi" w:cstheme="majorBidi"/>
          <w:sz w:val="24"/>
          <w:szCs w:val="24"/>
          <w:lang w:val="en-US"/>
        </w:rPr>
        <w:footnoteReference w:id="4"/>
      </w:r>
      <w:r w:rsidRPr="00D806D9">
        <w:rPr>
          <w:rFonts w:asciiTheme="majorBidi" w:hAnsiTheme="majorBidi" w:cstheme="majorBidi"/>
          <w:sz w:val="24"/>
          <w:szCs w:val="24"/>
          <w:lang w:val="en-US"/>
        </w:rPr>
        <w:t xml:space="preserve"> beyond a depth of 700m (UNECE, 2021, p.7)</w:t>
      </w:r>
      <w:r w:rsidR="000E1937" w:rsidRPr="00D806D9">
        <w:rPr>
          <w:rFonts w:asciiTheme="majorBidi" w:hAnsiTheme="majorBidi" w:cstheme="majorBidi"/>
          <w:sz w:val="24"/>
          <w:szCs w:val="24"/>
          <w:lang w:val="en-US"/>
        </w:rPr>
        <w:t>, f</w:t>
      </w:r>
      <w:r w:rsidRPr="00D806D9">
        <w:rPr>
          <w:rFonts w:asciiTheme="majorBidi" w:hAnsiTheme="majorBidi" w:cstheme="majorBidi"/>
          <w:sz w:val="24"/>
          <w:szCs w:val="24"/>
          <w:lang w:val="en-US"/>
        </w:rPr>
        <w:t>our types of geological reservoirs (</w:t>
      </w:r>
      <w:bookmarkStart w:id="4" w:name="_Hlk108525832"/>
      <w:r w:rsidRPr="00D806D9">
        <w:rPr>
          <w:rFonts w:asciiTheme="majorBidi" w:hAnsiTheme="majorBidi" w:cstheme="majorBidi"/>
          <w:sz w:val="24"/>
          <w:szCs w:val="24"/>
          <w:lang w:val="en-US"/>
        </w:rPr>
        <w:t>OECD/IEA</w:t>
      </w:r>
      <w:bookmarkEnd w:id="4"/>
      <w:r w:rsidRPr="00D806D9">
        <w:rPr>
          <w:rFonts w:asciiTheme="majorBidi" w:hAnsiTheme="majorBidi" w:cstheme="majorBidi"/>
          <w:sz w:val="24"/>
          <w:szCs w:val="24"/>
          <w:lang w:val="en-US"/>
        </w:rPr>
        <w:t xml:space="preserve">, 2016, p.32) would allow </w:t>
      </w:r>
      <w:r w:rsidR="000E6654">
        <w:rPr>
          <w:rFonts w:asciiTheme="majorBidi" w:hAnsiTheme="majorBidi" w:cstheme="majorBidi"/>
          <w:sz w:val="24"/>
          <w:szCs w:val="24"/>
          <w:lang w:val="en-US"/>
        </w:rPr>
        <w:t>retaining</w:t>
      </w:r>
      <w:r w:rsidRPr="00D806D9">
        <w:rPr>
          <w:rFonts w:asciiTheme="majorBidi" w:hAnsiTheme="majorBidi" w:cstheme="majorBidi"/>
          <w:sz w:val="24"/>
          <w:szCs w:val="24"/>
          <w:lang w:val="en-US"/>
        </w:rPr>
        <w:t xml:space="preserve"> </w:t>
      </w:r>
      <w:r w:rsidR="000E1937" w:rsidRPr="00D806D9">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CO</w:t>
      </w:r>
      <w:r w:rsidRPr="00D806D9">
        <w:rPr>
          <w:rFonts w:asciiTheme="majorBidi" w:hAnsiTheme="majorBidi" w:cstheme="majorBidi"/>
          <w:sz w:val="24"/>
          <w:szCs w:val="24"/>
          <w:vertAlign w:val="subscript"/>
          <w:lang w:val="en-US"/>
        </w:rPr>
        <w:t xml:space="preserve">2 </w:t>
      </w:r>
      <w:r w:rsidR="000E1937" w:rsidRPr="00D806D9">
        <w:rPr>
          <w:rFonts w:asciiTheme="majorBidi" w:hAnsiTheme="majorBidi" w:cstheme="majorBidi"/>
          <w:sz w:val="24"/>
          <w:szCs w:val="24"/>
          <w:lang w:val="en-US"/>
        </w:rPr>
        <w:t>as it m</w:t>
      </w:r>
      <w:r w:rsidRPr="00D806D9">
        <w:rPr>
          <w:rFonts w:asciiTheme="majorBidi" w:hAnsiTheme="majorBidi" w:cstheme="majorBidi"/>
          <w:sz w:val="24"/>
          <w:szCs w:val="24"/>
          <w:lang w:val="en-US"/>
        </w:rPr>
        <w:t xml:space="preserve">ineralizes over geological </w:t>
      </w:r>
      <w:r w:rsidR="000E6654">
        <w:rPr>
          <w:rFonts w:asciiTheme="majorBidi" w:hAnsiTheme="majorBidi" w:cstheme="majorBidi"/>
          <w:sz w:val="24"/>
          <w:szCs w:val="24"/>
          <w:lang w:val="en-US"/>
        </w:rPr>
        <w:t>periods</w:t>
      </w:r>
      <w:r w:rsidRPr="00D806D9">
        <w:rPr>
          <w:rFonts w:asciiTheme="majorBidi" w:hAnsiTheme="majorBidi" w:cstheme="majorBidi"/>
          <w:sz w:val="24"/>
          <w:szCs w:val="24"/>
          <w:lang w:val="en-US"/>
        </w:rPr>
        <w:t xml:space="preserve">. The availability of such storage </w:t>
      </w:r>
      <w:r w:rsidR="000E1937" w:rsidRPr="00D806D9">
        <w:rPr>
          <w:rFonts w:asciiTheme="majorBidi" w:hAnsiTheme="majorBidi" w:cstheme="majorBidi"/>
          <w:sz w:val="24"/>
          <w:szCs w:val="24"/>
          <w:lang w:val="en-US"/>
        </w:rPr>
        <w:t>capacities</w:t>
      </w:r>
      <w:r w:rsidRPr="00D806D9">
        <w:rPr>
          <w:rFonts w:asciiTheme="majorBidi" w:hAnsiTheme="majorBidi" w:cstheme="majorBidi"/>
          <w:sz w:val="24"/>
          <w:szCs w:val="24"/>
          <w:lang w:val="en-US"/>
        </w:rPr>
        <w:t xml:space="preserve"> is spatially limited. Their geographical distribution is uneven from one </w:t>
      </w:r>
      <w:r w:rsidRPr="00D806D9">
        <w:rPr>
          <w:rFonts w:asciiTheme="majorBidi" w:hAnsiTheme="majorBidi" w:cstheme="majorBidi"/>
          <w:sz w:val="24"/>
          <w:szCs w:val="24"/>
          <w:lang w:val="en-US"/>
        </w:rPr>
        <w:lastRenderedPageBreak/>
        <w:t>country to another</w:t>
      </w:r>
      <w:r w:rsidR="00FF49FE">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requiring international coordination for CO</w:t>
      </w:r>
      <w:r w:rsidRPr="00D806D9">
        <w:rPr>
          <w:rFonts w:asciiTheme="majorBidi" w:hAnsiTheme="majorBidi" w:cstheme="majorBidi"/>
          <w:sz w:val="24"/>
          <w:szCs w:val="24"/>
          <w:vertAlign w:val="subscript"/>
          <w:lang w:val="en-US"/>
        </w:rPr>
        <w:t>2</w:t>
      </w:r>
      <w:r w:rsidRPr="00D806D9">
        <w:rPr>
          <w:rFonts w:asciiTheme="majorBidi" w:hAnsiTheme="majorBidi" w:cstheme="majorBidi"/>
          <w:sz w:val="24"/>
          <w:szCs w:val="24"/>
          <w:lang w:val="en-US"/>
        </w:rPr>
        <w:t xml:space="preserve"> conditioning, transportation</w:t>
      </w:r>
      <w:r w:rsidR="000E6654">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sequestration. The implementation of a specific governance system is therefore necessary (trading platforms</w:t>
      </w:r>
      <w:r w:rsidR="000E1937"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specific regulatory frameworks</w:t>
      </w:r>
      <w:r w:rsidR="000E6654">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procedures). </w:t>
      </w:r>
      <w:r w:rsidR="00BC7899" w:rsidRPr="00D806D9">
        <w:rPr>
          <w:rFonts w:asciiTheme="majorBidi" w:hAnsiTheme="majorBidi" w:cstheme="majorBidi"/>
          <w:sz w:val="24"/>
          <w:szCs w:val="24"/>
          <w:lang w:val="en-US"/>
        </w:rPr>
        <w:t>CCS</w:t>
      </w:r>
      <w:r w:rsidRPr="00D806D9">
        <w:rPr>
          <w:rFonts w:asciiTheme="majorBidi" w:hAnsiTheme="majorBidi" w:cstheme="majorBidi"/>
          <w:sz w:val="24"/>
          <w:szCs w:val="24"/>
          <w:lang w:val="en-US"/>
        </w:rPr>
        <w:t xml:space="preserve"> expected </w:t>
      </w:r>
      <w:r w:rsidR="00BC7899" w:rsidRPr="00D806D9">
        <w:rPr>
          <w:rFonts w:asciiTheme="majorBidi" w:hAnsiTheme="majorBidi" w:cstheme="majorBidi"/>
          <w:sz w:val="24"/>
          <w:szCs w:val="24"/>
          <w:lang w:val="en-US"/>
        </w:rPr>
        <w:t>GHGE</w:t>
      </w:r>
      <w:r w:rsidRPr="00D806D9">
        <w:rPr>
          <w:rFonts w:asciiTheme="majorBidi" w:hAnsiTheme="majorBidi" w:cstheme="majorBidi"/>
          <w:sz w:val="24"/>
          <w:szCs w:val="24"/>
          <w:lang w:val="en-US"/>
        </w:rPr>
        <w:t xml:space="preserve"> reduction potential is up to 90% in hard-to-abate sectors (IEA, 2019, p.39) even though being itself an </w:t>
      </w:r>
      <w:r w:rsidR="000E6654">
        <w:rPr>
          <w:rFonts w:asciiTheme="majorBidi" w:hAnsiTheme="majorBidi" w:cstheme="majorBidi"/>
          <w:sz w:val="24"/>
          <w:szCs w:val="24"/>
          <w:lang w:val="en-US"/>
        </w:rPr>
        <w:t>energy-intensive</w:t>
      </w:r>
      <w:r w:rsidRPr="00D806D9">
        <w:rPr>
          <w:rFonts w:asciiTheme="majorBidi" w:hAnsiTheme="majorBidi" w:cstheme="majorBidi"/>
          <w:sz w:val="24"/>
          <w:szCs w:val="24"/>
          <w:lang w:val="en-US"/>
        </w:rPr>
        <w:t xml:space="preserve"> process (OECD/IEA, 2016, p.28). Although CCS appears </w:t>
      </w:r>
      <w:r w:rsidR="00FF18F8">
        <w:rPr>
          <w:rFonts w:asciiTheme="majorBidi" w:hAnsiTheme="majorBidi" w:cstheme="majorBidi"/>
          <w:sz w:val="24"/>
          <w:szCs w:val="24"/>
          <w:lang w:val="en-US"/>
        </w:rPr>
        <w:t xml:space="preserve">to be </w:t>
      </w:r>
      <w:r w:rsidRPr="00D806D9">
        <w:rPr>
          <w:rFonts w:asciiTheme="majorBidi" w:hAnsiTheme="majorBidi" w:cstheme="majorBidi"/>
          <w:sz w:val="24"/>
          <w:szCs w:val="24"/>
          <w:lang w:val="en-US"/>
        </w:rPr>
        <w:t xml:space="preserve">technically mastered, certain risks remain. </w:t>
      </w:r>
      <w:r w:rsidR="001069AF" w:rsidRPr="00D806D9">
        <w:rPr>
          <w:rFonts w:asciiTheme="majorBidi" w:hAnsiTheme="majorBidi" w:cstheme="majorBidi"/>
          <w:sz w:val="24"/>
          <w:szCs w:val="24"/>
          <w:lang w:val="en-US"/>
        </w:rPr>
        <w:t>First</w:t>
      </w:r>
      <w:r w:rsidRPr="00D806D9">
        <w:rPr>
          <w:rFonts w:asciiTheme="majorBidi" w:hAnsiTheme="majorBidi" w:cstheme="majorBidi"/>
          <w:sz w:val="24"/>
          <w:szCs w:val="24"/>
          <w:lang w:val="en-US"/>
        </w:rPr>
        <w:t>, they relate to the possibility of leak</w:t>
      </w:r>
      <w:r w:rsidR="001069AF" w:rsidRPr="00D806D9">
        <w:rPr>
          <w:rFonts w:asciiTheme="majorBidi" w:hAnsiTheme="majorBidi" w:cstheme="majorBidi"/>
          <w:sz w:val="24"/>
          <w:szCs w:val="24"/>
          <w:lang w:val="en-US"/>
        </w:rPr>
        <w:t>age</w:t>
      </w:r>
      <w:r w:rsidRPr="00D806D9">
        <w:rPr>
          <w:rFonts w:asciiTheme="majorBidi" w:hAnsiTheme="majorBidi" w:cstheme="majorBidi"/>
          <w:sz w:val="24"/>
          <w:szCs w:val="24"/>
          <w:lang w:val="en-US"/>
        </w:rPr>
        <w:t xml:space="preserve"> due to several factors. Seismicity and accidents remain risks even though </w:t>
      </w:r>
      <w:r w:rsidR="00FF18F8">
        <w:rPr>
          <w:rFonts w:asciiTheme="majorBidi" w:hAnsiTheme="majorBidi" w:cstheme="majorBidi"/>
          <w:sz w:val="24"/>
          <w:szCs w:val="24"/>
          <w:lang w:val="en-US"/>
        </w:rPr>
        <w:t>they are inte</w:t>
      </w:r>
      <w:r w:rsidRPr="00D806D9">
        <w:rPr>
          <w:rFonts w:asciiTheme="majorBidi" w:hAnsiTheme="majorBidi" w:cstheme="majorBidi"/>
          <w:sz w:val="24"/>
          <w:szCs w:val="24"/>
          <w:lang w:val="en-US"/>
        </w:rPr>
        <w:t xml:space="preserve">grated </w:t>
      </w:r>
      <w:r w:rsidR="000E6654">
        <w:rPr>
          <w:rFonts w:asciiTheme="majorBidi" w:hAnsiTheme="majorBidi" w:cstheme="majorBidi"/>
          <w:sz w:val="24"/>
          <w:szCs w:val="24"/>
          <w:lang w:val="en-US"/>
        </w:rPr>
        <w:t>into</w:t>
      </w:r>
      <w:r w:rsidRPr="00D806D9">
        <w:rPr>
          <w:rFonts w:asciiTheme="majorBidi" w:hAnsiTheme="majorBidi" w:cstheme="majorBidi"/>
          <w:sz w:val="24"/>
          <w:szCs w:val="24"/>
          <w:lang w:val="en-US"/>
        </w:rPr>
        <w:t xml:space="preserve"> the choice and design of storage sites. Most importantly, installations securitization and sequestration duration cause concerns. The </w:t>
      </w:r>
      <w:r w:rsidR="001069AF" w:rsidRPr="00D806D9">
        <w:rPr>
          <w:rFonts w:asciiTheme="majorBidi" w:hAnsiTheme="majorBidi" w:cstheme="majorBidi"/>
          <w:sz w:val="24"/>
          <w:szCs w:val="24"/>
          <w:lang w:val="en-US"/>
        </w:rPr>
        <w:t>airtightness</w:t>
      </w:r>
      <w:r w:rsidRPr="00D806D9">
        <w:rPr>
          <w:rFonts w:asciiTheme="majorBidi" w:hAnsiTheme="majorBidi" w:cstheme="majorBidi"/>
          <w:sz w:val="24"/>
          <w:szCs w:val="24"/>
          <w:lang w:val="en-US"/>
        </w:rPr>
        <w:t xml:space="preserve"> of storage sites is in theory geologically assured as reservoirs were stable for millions of years. To control the eventuality of leakage, CCS requires the implementation of monitoring systems to ensure over the very long term that the reservoir remains sealed. </w:t>
      </w:r>
      <w:r w:rsidR="00412BC8" w:rsidRPr="00D806D9">
        <w:rPr>
          <w:rFonts w:asciiTheme="majorBidi" w:hAnsiTheme="majorBidi" w:cstheme="majorBidi"/>
          <w:sz w:val="24"/>
          <w:szCs w:val="24"/>
          <w:lang w:val="en-US"/>
        </w:rPr>
        <w:t>Second</w:t>
      </w:r>
      <w:r w:rsidRPr="00D806D9">
        <w:rPr>
          <w:rFonts w:asciiTheme="majorBidi" w:hAnsiTheme="majorBidi" w:cstheme="majorBidi"/>
          <w:sz w:val="24"/>
          <w:szCs w:val="24"/>
          <w:lang w:val="en-US"/>
        </w:rPr>
        <w:t xml:space="preserve">, financial risks are also a limitation. CCS </w:t>
      </w:r>
      <w:r w:rsidR="000E6654">
        <w:rPr>
          <w:rFonts w:asciiTheme="majorBidi" w:hAnsiTheme="majorBidi" w:cstheme="majorBidi"/>
          <w:sz w:val="24"/>
          <w:szCs w:val="24"/>
          <w:lang w:val="en-US"/>
        </w:rPr>
        <w:t>represents</w:t>
      </w:r>
      <w:r w:rsidRPr="00D806D9">
        <w:rPr>
          <w:rFonts w:asciiTheme="majorBidi" w:hAnsiTheme="majorBidi" w:cstheme="majorBidi"/>
          <w:sz w:val="24"/>
          <w:szCs w:val="24"/>
          <w:lang w:val="en-US"/>
        </w:rPr>
        <w:t xml:space="preserve"> significant investment costs </w:t>
      </w:r>
      <w:r w:rsidR="000E6654">
        <w:rPr>
          <w:rFonts w:asciiTheme="majorBidi" w:hAnsiTheme="majorBidi" w:cstheme="majorBidi"/>
          <w:sz w:val="24"/>
          <w:szCs w:val="24"/>
          <w:lang w:val="en-US"/>
        </w:rPr>
        <w:t>that</w:t>
      </w:r>
      <w:r w:rsidRPr="00D806D9">
        <w:rPr>
          <w:rFonts w:asciiTheme="majorBidi" w:hAnsiTheme="majorBidi" w:cstheme="majorBidi"/>
          <w:sz w:val="24"/>
          <w:szCs w:val="24"/>
          <w:lang w:val="en-US"/>
        </w:rPr>
        <w:t xml:space="preserve"> will be contemplated only with the right incentives</w:t>
      </w:r>
      <w:r w:rsidR="005A1EBE">
        <w:rPr>
          <w:rFonts w:asciiTheme="majorBidi" w:hAnsiTheme="majorBidi" w:cstheme="majorBidi"/>
          <w:sz w:val="24"/>
          <w:szCs w:val="24"/>
          <w:lang w:val="en-US"/>
        </w:rPr>
        <w:t xml:space="preserve"> are</w:t>
      </w:r>
      <w:r w:rsidRPr="00D806D9">
        <w:rPr>
          <w:rFonts w:asciiTheme="majorBidi" w:hAnsiTheme="majorBidi" w:cstheme="majorBidi"/>
          <w:sz w:val="24"/>
          <w:szCs w:val="24"/>
          <w:lang w:val="en-US"/>
        </w:rPr>
        <w:t xml:space="preserve"> in place. </w:t>
      </w:r>
      <w:r w:rsidR="00412BC8" w:rsidRPr="00D806D9">
        <w:rPr>
          <w:rFonts w:asciiTheme="majorBidi" w:hAnsiTheme="majorBidi" w:cstheme="majorBidi"/>
          <w:sz w:val="24"/>
          <w:szCs w:val="24"/>
          <w:lang w:val="en-US"/>
        </w:rPr>
        <w:t>W</w:t>
      </w:r>
      <w:r w:rsidRPr="00D806D9">
        <w:rPr>
          <w:rFonts w:asciiTheme="majorBidi" w:hAnsiTheme="majorBidi" w:cstheme="majorBidi"/>
          <w:sz w:val="24"/>
          <w:szCs w:val="24"/>
          <w:lang w:val="en-US"/>
        </w:rPr>
        <w:t>ater availability near project sites (Noussan</w:t>
      </w:r>
      <w:r w:rsidR="005A1EBE">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et al, 2021) and the energy consumed for the CCS process (The Royal Society, 2018) </w:t>
      </w:r>
      <w:r w:rsidR="00412BC8" w:rsidRPr="00D806D9">
        <w:rPr>
          <w:rFonts w:asciiTheme="majorBidi" w:hAnsiTheme="majorBidi" w:cstheme="majorBidi"/>
          <w:sz w:val="24"/>
          <w:szCs w:val="24"/>
          <w:lang w:val="en-US"/>
        </w:rPr>
        <w:t>significantly</w:t>
      </w:r>
      <w:r w:rsidRPr="00D806D9">
        <w:rPr>
          <w:rFonts w:asciiTheme="majorBidi" w:hAnsiTheme="majorBidi" w:cstheme="majorBidi"/>
          <w:sz w:val="24"/>
          <w:szCs w:val="24"/>
          <w:lang w:val="en-US"/>
        </w:rPr>
        <w:t xml:space="preserve"> influence projects’ profitability for instance. The failure to establish carbon pricing mechanisms that orient investments through sufficient signaling also accounts for this inertia. </w:t>
      </w:r>
      <w:r w:rsidR="005E4430" w:rsidRPr="00D806D9">
        <w:rPr>
          <w:rFonts w:asciiTheme="majorBidi" w:hAnsiTheme="majorBidi" w:cstheme="majorBidi"/>
          <w:sz w:val="24"/>
          <w:szCs w:val="24"/>
          <w:lang w:val="en-US"/>
        </w:rPr>
        <w:t>Third</w:t>
      </w:r>
      <w:r w:rsidRPr="00D806D9">
        <w:rPr>
          <w:rFonts w:asciiTheme="majorBidi" w:hAnsiTheme="majorBidi" w:cstheme="majorBidi"/>
          <w:sz w:val="24"/>
          <w:szCs w:val="24"/>
          <w:lang w:val="en-US"/>
        </w:rPr>
        <w:t xml:space="preserve">, these uncertainties and risks fuel social resistance. Indeed, opposition movements have </w:t>
      </w:r>
      <w:r w:rsidR="00C37CF2" w:rsidRPr="00D806D9">
        <w:rPr>
          <w:rFonts w:asciiTheme="majorBidi" w:hAnsiTheme="majorBidi" w:cstheme="majorBidi"/>
          <w:sz w:val="24"/>
          <w:szCs w:val="24"/>
          <w:lang w:val="en-US"/>
        </w:rPr>
        <w:t>arisen,</w:t>
      </w:r>
      <w:r w:rsidRPr="00D806D9">
        <w:rPr>
          <w:rFonts w:asciiTheme="majorBidi" w:hAnsiTheme="majorBidi" w:cstheme="majorBidi"/>
          <w:sz w:val="24"/>
          <w:szCs w:val="24"/>
          <w:lang w:val="en-US"/>
        </w:rPr>
        <w:t xml:space="preserve"> and </w:t>
      </w:r>
      <w:r w:rsidR="005E4430" w:rsidRPr="00D806D9">
        <w:rPr>
          <w:rFonts w:asciiTheme="majorBidi" w:hAnsiTheme="majorBidi" w:cstheme="majorBidi"/>
          <w:sz w:val="24"/>
          <w:szCs w:val="24"/>
          <w:lang w:val="en-US"/>
        </w:rPr>
        <w:t>some governments</w:t>
      </w:r>
      <w:r w:rsidRPr="00D806D9">
        <w:rPr>
          <w:rFonts w:asciiTheme="majorBidi" w:hAnsiTheme="majorBidi" w:cstheme="majorBidi"/>
          <w:sz w:val="24"/>
          <w:szCs w:val="24"/>
          <w:lang w:val="en-US"/>
        </w:rPr>
        <w:t xml:space="preserve"> </w:t>
      </w:r>
      <w:r w:rsidR="00031C81">
        <w:rPr>
          <w:rFonts w:asciiTheme="majorBidi" w:hAnsiTheme="majorBidi" w:cstheme="majorBidi"/>
          <w:sz w:val="24"/>
          <w:szCs w:val="24"/>
          <w:lang w:val="en-US"/>
        </w:rPr>
        <w:t xml:space="preserve">have </w:t>
      </w:r>
      <w:r w:rsidRPr="00D806D9">
        <w:rPr>
          <w:rFonts w:asciiTheme="majorBidi" w:hAnsiTheme="majorBidi" w:cstheme="majorBidi"/>
          <w:sz w:val="24"/>
          <w:szCs w:val="24"/>
          <w:lang w:val="en-US"/>
        </w:rPr>
        <w:t>limited</w:t>
      </w:r>
      <w:r w:rsidR="005E4430" w:rsidRPr="00D806D9">
        <w:rPr>
          <w:rFonts w:asciiTheme="majorBidi" w:hAnsiTheme="majorBidi" w:cstheme="majorBidi"/>
          <w:sz w:val="24"/>
          <w:szCs w:val="24"/>
          <w:lang w:val="en-US"/>
        </w:rPr>
        <w:t xml:space="preserve"> CCS</w:t>
      </w:r>
      <w:r w:rsidRPr="00D806D9">
        <w:rPr>
          <w:rFonts w:asciiTheme="majorBidi" w:hAnsiTheme="majorBidi" w:cstheme="majorBidi"/>
          <w:sz w:val="24"/>
          <w:szCs w:val="24"/>
          <w:lang w:val="en-US"/>
        </w:rPr>
        <w:t>, or even banned</w:t>
      </w:r>
      <w:r w:rsidR="005E4430" w:rsidRPr="00D806D9">
        <w:rPr>
          <w:rFonts w:asciiTheme="majorBidi" w:hAnsiTheme="majorBidi" w:cstheme="majorBidi"/>
          <w:sz w:val="24"/>
          <w:szCs w:val="24"/>
          <w:lang w:val="en-US"/>
        </w:rPr>
        <w:t xml:space="preserve"> it</w:t>
      </w:r>
      <w:r w:rsidRPr="00D806D9">
        <w:rPr>
          <w:rFonts w:asciiTheme="majorBidi" w:hAnsiTheme="majorBidi" w:cstheme="majorBidi"/>
          <w:sz w:val="24"/>
          <w:szCs w:val="24"/>
          <w:lang w:val="en-US"/>
        </w:rPr>
        <w:t>,</w:t>
      </w:r>
      <w:r w:rsidR="005E4430"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due to legal, health</w:t>
      </w:r>
      <w:r w:rsidR="000E6654">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environmental considerations. As a result, within the EU only 35 CCS projects are under development and the first one approved for commercial use, Porthos in the Netherlands, was confirmed in May 2022</w:t>
      </w:r>
      <w:r w:rsidR="007479E0" w:rsidRPr="00D806D9">
        <w:rPr>
          <w:rFonts w:asciiTheme="majorBidi" w:hAnsiTheme="majorBidi" w:cstheme="majorBidi"/>
          <w:sz w:val="24"/>
          <w:szCs w:val="24"/>
          <w:lang w:val="en-US"/>
        </w:rPr>
        <w:t xml:space="preserve"> (Global CCS Institute, 2021)</w:t>
      </w:r>
      <w:r w:rsidRPr="00D806D9">
        <w:rPr>
          <w:rFonts w:asciiTheme="majorBidi" w:hAnsiTheme="majorBidi" w:cstheme="majorBidi"/>
          <w:sz w:val="24"/>
          <w:szCs w:val="24"/>
          <w:lang w:val="en-US"/>
        </w:rPr>
        <w:t xml:space="preserve">. To sum up, </w:t>
      </w:r>
      <w:r w:rsidR="000E6654">
        <w:rPr>
          <w:rFonts w:asciiTheme="majorBidi" w:hAnsiTheme="majorBidi" w:cstheme="majorBidi"/>
          <w:sz w:val="24"/>
          <w:szCs w:val="24"/>
          <w:lang w:val="en-US"/>
        </w:rPr>
        <w:t>CCS’s</w:t>
      </w:r>
      <w:r w:rsidR="007479E0" w:rsidRPr="00D806D9">
        <w:rPr>
          <w:rFonts w:asciiTheme="majorBidi" w:hAnsiTheme="majorBidi" w:cstheme="majorBidi"/>
          <w:sz w:val="24"/>
          <w:szCs w:val="24"/>
          <w:lang w:val="en-US"/>
        </w:rPr>
        <w:t xml:space="preserve"> contribution</w:t>
      </w:r>
      <w:r w:rsidRPr="00D806D9">
        <w:rPr>
          <w:rFonts w:asciiTheme="majorBidi" w:hAnsiTheme="majorBidi" w:cstheme="majorBidi"/>
          <w:sz w:val="24"/>
          <w:szCs w:val="24"/>
          <w:lang w:val="en-US"/>
        </w:rPr>
        <w:t xml:space="preserve"> today </w:t>
      </w:r>
      <w:r w:rsidR="007479E0" w:rsidRPr="00D806D9">
        <w:rPr>
          <w:rFonts w:asciiTheme="majorBidi" w:hAnsiTheme="majorBidi" w:cstheme="majorBidi"/>
          <w:sz w:val="24"/>
          <w:szCs w:val="24"/>
          <w:lang w:val="en-US"/>
        </w:rPr>
        <w:t>is</w:t>
      </w:r>
      <w:r w:rsidRPr="00D806D9">
        <w:rPr>
          <w:rFonts w:asciiTheme="majorBidi" w:hAnsiTheme="majorBidi" w:cstheme="majorBidi"/>
          <w:sz w:val="24"/>
          <w:szCs w:val="24"/>
          <w:lang w:val="en-US"/>
        </w:rPr>
        <w:t xml:space="preserve"> negligible </w:t>
      </w:r>
      <w:r w:rsidR="005E4430" w:rsidRPr="00D806D9">
        <w:rPr>
          <w:rFonts w:asciiTheme="majorBidi" w:hAnsiTheme="majorBidi" w:cstheme="majorBidi"/>
          <w:sz w:val="24"/>
          <w:szCs w:val="24"/>
          <w:lang w:val="en-US"/>
        </w:rPr>
        <w:t>compared</w:t>
      </w:r>
      <w:r w:rsidR="00C37CF2" w:rsidRPr="00D806D9">
        <w:rPr>
          <w:rFonts w:asciiTheme="majorBidi" w:hAnsiTheme="majorBidi" w:cstheme="majorBidi"/>
          <w:sz w:val="24"/>
          <w:szCs w:val="24"/>
          <w:lang w:val="en-US"/>
        </w:rPr>
        <w:t xml:space="preserve"> to</w:t>
      </w:r>
      <w:r w:rsidRPr="00D806D9">
        <w:rPr>
          <w:rFonts w:asciiTheme="majorBidi" w:hAnsiTheme="majorBidi" w:cstheme="majorBidi"/>
          <w:sz w:val="24"/>
          <w:szCs w:val="24"/>
          <w:lang w:val="en-US"/>
        </w:rPr>
        <w:t xml:space="preserve"> the 38G</w:t>
      </w:r>
      <w:r w:rsidR="002D4C4B"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 of CO</w:t>
      </w:r>
      <w:r w:rsidRPr="00D806D9">
        <w:rPr>
          <w:rFonts w:asciiTheme="majorBidi" w:hAnsiTheme="majorBidi" w:cstheme="majorBidi"/>
          <w:sz w:val="24"/>
          <w:szCs w:val="24"/>
          <w:vertAlign w:val="subscript"/>
          <w:lang w:val="en-US"/>
        </w:rPr>
        <w:t xml:space="preserve">2 </w:t>
      </w:r>
      <w:r w:rsidR="005E4430" w:rsidRPr="00D806D9">
        <w:rPr>
          <w:rFonts w:asciiTheme="majorBidi" w:hAnsiTheme="majorBidi" w:cstheme="majorBidi"/>
          <w:sz w:val="24"/>
          <w:szCs w:val="24"/>
          <w:lang w:val="en-US"/>
        </w:rPr>
        <w:t>released</w:t>
      </w:r>
      <w:r w:rsidRPr="00D806D9">
        <w:rPr>
          <w:rFonts w:asciiTheme="majorBidi" w:hAnsiTheme="majorBidi" w:cstheme="majorBidi"/>
          <w:sz w:val="24"/>
          <w:szCs w:val="24"/>
          <w:lang w:val="en-US"/>
        </w:rPr>
        <w:t xml:space="preserve"> into the atmosphere in 2019</w:t>
      </w:r>
      <w:r w:rsidR="005E4430" w:rsidRPr="00D806D9">
        <w:rPr>
          <w:rFonts w:asciiTheme="majorBidi" w:hAnsiTheme="majorBidi" w:cstheme="majorBidi"/>
          <w:sz w:val="24"/>
          <w:szCs w:val="24"/>
          <w:lang w:val="en-US"/>
        </w:rPr>
        <w:t xml:space="preserve"> </w:t>
      </w:r>
      <w:r w:rsidR="007479E0" w:rsidRPr="00D806D9">
        <w:rPr>
          <w:rFonts w:asciiTheme="majorBidi" w:hAnsiTheme="majorBidi" w:cstheme="majorBidi"/>
          <w:sz w:val="24"/>
          <w:szCs w:val="24"/>
          <w:lang w:val="en-US"/>
        </w:rPr>
        <w:t>linked</w:t>
      </w:r>
      <w:r w:rsidR="005E4430" w:rsidRPr="00D806D9">
        <w:rPr>
          <w:rFonts w:asciiTheme="majorBidi" w:hAnsiTheme="majorBidi" w:cstheme="majorBidi"/>
          <w:sz w:val="24"/>
          <w:szCs w:val="24"/>
          <w:lang w:val="en-US"/>
        </w:rPr>
        <w:t xml:space="preserve"> to energy uses</w:t>
      </w:r>
      <w:r w:rsidRPr="00D806D9">
        <w:rPr>
          <w:rFonts w:asciiTheme="majorBidi" w:hAnsiTheme="majorBidi" w:cstheme="majorBidi"/>
          <w:sz w:val="24"/>
          <w:szCs w:val="24"/>
          <w:lang w:val="en-US"/>
        </w:rPr>
        <w:t xml:space="preserve"> (UNE</w:t>
      </w:r>
      <w:r w:rsidR="001F49D3">
        <w:rPr>
          <w:rFonts w:asciiTheme="majorBidi" w:hAnsiTheme="majorBidi" w:cstheme="majorBidi"/>
          <w:sz w:val="24"/>
          <w:szCs w:val="24"/>
          <w:lang w:val="en-US"/>
        </w:rPr>
        <w:t>P</w:t>
      </w:r>
      <w:r w:rsidRPr="00D806D9">
        <w:rPr>
          <w:rFonts w:asciiTheme="majorBidi" w:hAnsiTheme="majorBidi" w:cstheme="majorBidi"/>
          <w:sz w:val="24"/>
          <w:szCs w:val="24"/>
          <w:lang w:val="en-US"/>
        </w:rPr>
        <w:t>, 2020).</w:t>
      </w:r>
      <w:r w:rsidR="00F21C20"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Regarding CCUS, it is interesting to note that 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 xml:space="preserve">is already employed in </w:t>
      </w:r>
      <w:r w:rsidRPr="00D806D9">
        <w:rPr>
          <w:rFonts w:asciiTheme="majorBidi" w:hAnsiTheme="majorBidi" w:cstheme="majorBidi"/>
          <w:sz w:val="24"/>
          <w:szCs w:val="24"/>
          <w:lang w:val="en-US"/>
        </w:rPr>
        <w:lastRenderedPageBreak/>
        <w:t>the oil industry to optimize the yield of wells</w:t>
      </w:r>
      <w:r w:rsidR="00A0232E"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this option </w:t>
      </w:r>
      <w:r w:rsidR="00A0232E" w:rsidRPr="00D806D9">
        <w:rPr>
          <w:rFonts w:asciiTheme="majorBidi" w:hAnsiTheme="majorBidi" w:cstheme="majorBidi"/>
          <w:sz w:val="24"/>
          <w:szCs w:val="24"/>
          <w:lang w:val="en-US"/>
        </w:rPr>
        <w:t>being</w:t>
      </w:r>
      <w:r w:rsidRPr="00D806D9">
        <w:rPr>
          <w:rFonts w:asciiTheme="majorBidi" w:hAnsiTheme="majorBidi" w:cstheme="majorBidi"/>
          <w:sz w:val="24"/>
          <w:szCs w:val="24"/>
          <w:lang w:val="en-US"/>
        </w:rPr>
        <w:t xml:space="preserve"> actively promoted by international bodies (UNECE, 2021, p.9). Thus, in addition to offering an option to reduce </w:t>
      </w:r>
      <w:r w:rsidR="00031C81">
        <w:rPr>
          <w:rFonts w:asciiTheme="majorBidi" w:hAnsiTheme="majorBidi" w:cstheme="majorBidi"/>
          <w:sz w:val="24"/>
          <w:szCs w:val="24"/>
          <w:lang w:val="en-US"/>
        </w:rPr>
        <w:t xml:space="preserve">their </w:t>
      </w:r>
      <w:r w:rsidRPr="00D806D9">
        <w:rPr>
          <w:rFonts w:asciiTheme="majorBidi" w:hAnsiTheme="majorBidi" w:cstheme="majorBidi"/>
          <w:sz w:val="24"/>
          <w:szCs w:val="24"/>
          <w:lang w:val="en-US"/>
        </w:rPr>
        <w:t xml:space="preserve">carbon footprint, the extension of CCS techniques also represents a possibility </w:t>
      </w:r>
      <w:r w:rsidR="00031C81">
        <w:rPr>
          <w:rFonts w:asciiTheme="majorBidi" w:hAnsiTheme="majorBidi" w:cstheme="majorBidi"/>
          <w:sz w:val="24"/>
          <w:szCs w:val="24"/>
          <w:lang w:val="en-US"/>
        </w:rPr>
        <w:t>of extending their</w:t>
      </w:r>
      <w:r w:rsidRPr="00D806D9">
        <w:rPr>
          <w:rFonts w:asciiTheme="majorBidi" w:hAnsiTheme="majorBidi" w:cstheme="majorBidi"/>
          <w:sz w:val="24"/>
          <w:szCs w:val="24"/>
          <w:lang w:val="en-US"/>
        </w:rPr>
        <w:t xml:space="preserve"> </w:t>
      </w:r>
      <w:r w:rsidR="00A0232E" w:rsidRPr="00D806D9">
        <w:rPr>
          <w:rFonts w:asciiTheme="majorBidi" w:hAnsiTheme="majorBidi" w:cstheme="majorBidi"/>
          <w:sz w:val="24"/>
          <w:szCs w:val="24"/>
          <w:lang w:val="en-US"/>
        </w:rPr>
        <w:t>activities with high</w:t>
      </w:r>
      <w:r w:rsidRPr="00D806D9">
        <w:rPr>
          <w:rFonts w:asciiTheme="majorBidi" w:hAnsiTheme="majorBidi" w:cstheme="majorBidi"/>
          <w:sz w:val="24"/>
          <w:szCs w:val="24"/>
          <w:lang w:val="en-US"/>
        </w:rPr>
        <w:t xml:space="preserve"> GHGE</w:t>
      </w:r>
      <w:r w:rsidR="00A0232E" w:rsidRPr="00D806D9">
        <w:rPr>
          <w:rFonts w:asciiTheme="majorBidi" w:hAnsiTheme="majorBidi" w:cstheme="majorBidi"/>
          <w:sz w:val="24"/>
          <w:szCs w:val="24"/>
          <w:lang w:val="en-US"/>
        </w:rPr>
        <w:t xml:space="preserve"> impact</w:t>
      </w:r>
      <w:r w:rsidR="00031C81">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is again </w:t>
      </w:r>
      <w:r w:rsidR="00031C81">
        <w:rPr>
          <w:rFonts w:asciiTheme="majorBidi" w:hAnsiTheme="majorBidi" w:cstheme="majorBidi"/>
          <w:sz w:val="24"/>
          <w:szCs w:val="24"/>
          <w:lang w:val="en-US"/>
        </w:rPr>
        <w:t>in</w:t>
      </w:r>
      <w:r w:rsidRPr="00D806D9">
        <w:rPr>
          <w:rFonts w:asciiTheme="majorBidi" w:hAnsiTheme="majorBidi" w:cstheme="majorBidi"/>
          <w:sz w:val="24"/>
          <w:szCs w:val="24"/>
          <w:lang w:val="en-US"/>
        </w:rPr>
        <w:t>consistent with the emission reduction objectives. Other possible uses of 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 xml:space="preserve">are put forward, notably for the concrete </w:t>
      </w:r>
      <w:r w:rsidR="00DF2F9C" w:rsidRPr="00D806D9">
        <w:rPr>
          <w:rFonts w:asciiTheme="majorBidi" w:hAnsiTheme="majorBidi" w:cstheme="majorBidi"/>
          <w:noProof/>
          <w:sz w:val="24"/>
          <w:szCs w:val="24"/>
          <w:lang w:val="en-US"/>
        </w:rPr>
        <w:drawing>
          <wp:anchor distT="180340" distB="180340" distL="114300" distR="114300" simplePos="0" relativeHeight="251673600" behindDoc="0" locked="0" layoutInCell="1" allowOverlap="1" wp14:anchorId="3E0950B7" wp14:editId="169E73A6">
            <wp:simplePos x="0" y="0"/>
            <wp:positionH relativeFrom="margin">
              <wp:align>center</wp:align>
            </wp:positionH>
            <wp:positionV relativeFrom="page">
              <wp:posOffset>3069590</wp:posOffset>
            </wp:positionV>
            <wp:extent cx="4953600" cy="3704400"/>
            <wp:effectExtent l="19050" t="19050" r="19050" b="1079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600" cy="37044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D806D9">
        <w:rPr>
          <w:rFonts w:asciiTheme="majorBidi" w:hAnsiTheme="majorBidi" w:cstheme="majorBidi"/>
          <w:sz w:val="24"/>
          <w:szCs w:val="24"/>
          <w:lang w:val="en-US"/>
        </w:rPr>
        <w:t>manufacturing process.</w:t>
      </w:r>
    </w:p>
    <w:p w14:paraId="345DB494" w14:textId="78094E7A" w:rsidR="00B17D4A" w:rsidRPr="00D806D9" w:rsidRDefault="00891795" w:rsidP="00D806D9">
      <w:pPr>
        <w:spacing w:after="0" w:line="480" w:lineRule="auto"/>
        <w:jc w:val="both"/>
        <w:textAlignment w:val="baseline"/>
        <w:rPr>
          <w:rFonts w:asciiTheme="majorBidi" w:hAnsiTheme="majorBidi" w:cstheme="majorBidi"/>
          <w:sz w:val="24"/>
          <w:szCs w:val="24"/>
          <w:lang w:val="en-US"/>
        </w:rPr>
      </w:pPr>
      <w:r w:rsidRPr="00D806D9">
        <w:rPr>
          <w:rFonts w:asciiTheme="majorBidi" w:hAnsiTheme="majorBidi" w:cstheme="majorBidi"/>
          <w:sz w:val="24"/>
          <w:szCs w:val="24"/>
          <w:lang w:val="en-US"/>
        </w:rPr>
        <w:tab/>
      </w:r>
      <w:r w:rsidR="00B923B3">
        <w:rPr>
          <w:rFonts w:asciiTheme="majorBidi" w:hAnsiTheme="majorBidi" w:cstheme="majorBidi"/>
          <w:sz w:val="24"/>
          <w:szCs w:val="24"/>
          <w:lang w:val="en-US"/>
        </w:rPr>
        <w:t>T</w:t>
      </w:r>
      <w:r w:rsidR="000E6654">
        <w:rPr>
          <w:rFonts w:asciiTheme="majorBidi" w:hAnsiTheme="majorBidi" w:cstheme="majorBidi"/>
          <w:sz w:val="24"/>
          <w:szCs w:val="24"/>
          <w:lang w:val="en-US"/>
        </w:rPr>
        <w:t>hird</w:t>
      </w:r>
      <w:r w:rsidR="00B17D4A" w:rsidRPr="00D806D9">
        <w:rPr>
          <w:rFonts w:asciiTheme="majorBidi" w:hAnsiTheme="majorBidi" w:cstheme="majorBidi"/>
          <w:sz w:val="24"/>
          <w:szCs w:val="24"/>
          <w:lang w:val="en-US"/>
        </w:rPr>
        <w:t xml:space="preserve"> main technological solution </w:t>
      </w:r>
      <w:r w:rsidR="00280755" w:rsidRPr="00D806D9">
        <w:rPr>
          <w:rFonts w:asciiTheme="majorBidi" w:hAnsiTheme="majorBidi" w:cstheme="majorBidi"/>
          <w:sz w:val="24"/>
          <w:szCs w:val="24"/>
          <w:lang w:val="en-US"/>
        </w:rPr>
        <w:t>essential</w:t>
      </w:r>
      <w:r w:rsidR="00B17D4A" w:rsidRPr="00D806D9">
        <w:rPr>
          <w:rFonts w:asciiTheme="majorBidi" w:hAnsiTheme="majorBidi" w:cstheme="majorBidi"/>
          <w:sz w:val="24"/>
          <w:szCs w:val="24"/>
          <w:lang w:val="en-US"/>
        </w:rPr>
        <w:t xml:space="preserve"> for LCH massification, electrolysers are still inefficient and costly. </w:t>
      </w:r>
      <w:r w:rsidR="009508B1" w:rsidRPr="00D806D9">
        <w:rPr>
          <w:rFonts w:asciiTheme="majorBidi" w:hAnsiTheme="majorBidi" w:cstheme="majorBidi"/>
          <w:sz w:val="24"/>
          <w:szCs w:val="24"/>
          <w:lang w:val="en-US"/>
        </w:rPr>
        <w:t xml:space="preserve">Electrolysis is a process that consists in separating the dihydrogen and oxygen that make up the water molecules by passing a direct electric current into it. The hydrogen production process using this method is in itself </w:t>
      </w:r>
      <w:r w:rsidR="00397B73">
        <w:rPr>
          <w:rFonts w:asciiTheme="majorBidi" w:hAnsiTheme="majorBidi" w:cstheme="majorBidi"/>
          <w:sz w:val="24"/>
          <w:szCs w:val="24"/>
          <w:lang w:val="en-US"/>
        </w:rPr>
        <w:t>low-carbon</w:t>
      </w:r>
      <w:r w:rsidR="009508B1" w:rsidRPr="00D806D9">
        <w:rPr>
          <w:rFonts w:asciiTheme="majorBidi" w:hAnsiTheme="majorBidi" w:cstheme="majorBidi"/>
          <w:sz w:val="24"/>
          <w:szCs w:val="24"/>
          <w:lang w:val="en-US"/>
        </w:rPr>
        <w:t xml:space="preserve">. </w:t>
      </w:r>
      <w:r w:rsidR="00280755" w:rsidRPr="00D806D9">
        <w:rPr>
          <w:rFonts w:asciiTheme="majorBidi" w:hAnsiTheme="majorBidi" w:cstheme="majorBidi"/>
          <w:sz w:val="24"/>
          <w:szCs w:val="24"/>
          <w:lang w:val="en-US"/>
        </w:rPr>
        <w:t>Holding</w:t>
      </w:r>
      <w:r w:rsidR="00B17D4A" w:rsidRPr="00D806D9">
        <w:rPr>
          <w:rFonts w:asciiTheme="majorBidi" w:hAnsiTheme="majorBidi" w:cstheme="majorBidi"/>
          <w:sz w:val="24"/>
          <w:szCs w:val="24"/>
          <w:lang w:val="en-US"/>
        </w:rPr>
        <w:t xml:space="preserve"> electricity consumption</w:t>
      </w:r>
      <w:r w:rsidR="00280755" w:rsidRPr="00D806D9">
        <w:rPr>
          <w:rFonts w:asciiTheme="majorBidi" w:hAnsiTheme="majorBidi" w:cstheme="majorBidi"/>
          <w:sz w:val="24"/>
          <w:szCs w:val="24"/>
          <w:lang w:val="en-US"/>
        </w:rPr>
        <w:t xml:space="preserve"> constant</w:t>
      </w:r>
      <w:r w:rsidR="00B17D4A" w:rsidRPr="00D806D9">
        <w:rPr>
          <w:rFonts w:asciiTheme="majorBidi" w:hAnsiTheme="majorBidi" w:cstheme="majorBidi"/>
          <w:sz w:val="24"/>
          <w:szCs w:val="24"/>
          <w:lang w:val="en-US"/>
        </w:rPr>
        <w:t>, the installation of electrolysers</w:t>
      </w:r>
      <w:r w:rsidR="000E6654">
        <w:rPr>
          <w:rFonts w:asciiTheme="majorBidi" w:hAnsiTheme="majorBidi" w:cstheme="majorBidi"/>
          <w:sz w:val="24"/>
          <w:szCs w:val="24"/>
          <w:lang w:val="en-US"/>
        </w:rPr>
        <w:t>, therefore,</w:t>
      </w:r>
      <w:r w:rsidR="00B17D4A" w:rsidRPr="00D806D9">
        <w:rPr>
          <w:rFonts w:asciiTheme="majorBidi" w:hAnsiTheme="majorBidi" w:cstheme="majorBidi"/>
          <w:sz w:val="24"/>
          <w:szCs w:val="24"/>
          <w:lang w:val="en-US"/>
        </w:rPr>
        <w:t xml:space="preserve"> implies an increase in electricity production to operate them. The source of electricity is </w:t>
      </w:r>
      <w:r w:rsidR="00280755" w:rsidRPr="00D806D9">
        <w:rPr>
          <w:rFonts w:asciiTheme="majorBidi" w:hAnsiTheme="majorBidi" w:cstheme="majorBidi"/>
          <w:sz w:val="24"/>
          <w:szCs w:val="24"/>
          <w:lang w:val="en-US"/>
        </w:rPr>
        <w:t>a crucial element</w:t>
      </w:r>
      <w:r w:rsidR="00B17D4A" w:rsidRPr="00D806D9">
        <w:rPr>
          <w:rFonts w:asciiTheme="majorBidi" w:hAnsiTheme="majorBidi" w:cstheme="majorBidi"/>
          <w:sz w:val="24"/>
          <w:szCs w:val="24"/>
          <w:lang w:val="en-US"/>
        </w:rPr>
        <w:t xml:space="preserve"> to consider. If the production of electricity </w:t>
      </w:r>
      <w:r w:rsidR="00B05040" w:rsidRPr="00D806D9">
        <w:rPr>
          <w:rFonts w:asciiTheme="majorBidi" w:hAnsiTheme="majorBidi" w:cstheme="majorBidi"/>
          <w:sz w:val="24"/>
          <w:szCs w:val="24"/>
          <w:lang w:val="en-US"/>
        </w:rPr>
        <w:t>were</w:t>
      </w:r>
      <w:r w:rsidR="00B17D4A" w:rsidRPr="00D806D9">
        <w:rPr>
          <w:rFonts w:asciiTheme="majorBidi" w:hAnsiTheme="majorBidi" w:cstheme="majorBidi"/>
          <w:sz w:val="24"/>
          <w:szCs w:val="24"/>
          <w:lang w:val="en-US"/>
        </w:rPr>
        <w:t xml:space="preserve"> itself a source of GHGE (45,5% of the total net electricity production in the EU-27 came from fossil fuels in 2018), </w:t>
      </w:r>
      <w:r w:rsidR="00B17D4A" w:rsidRPr="00D806D9">
        <w:rPr>
          <w:rFonts w:asciiTheme="majorBidi" w:hAnsiTheme="majorBidi" w:cstheme="majorBidi"/>
          <w:sz w:val="24"/>
          <w:szCs w:val="24"/>
          <w:lang w:val="en-US"/>
        </w:rPr>
        <w:lastRenderedPageBreak/>
        <w:t xml:space="preserve">the generation of LCH would not fulfill the assigned function of decarbonizing activities. Thus, the electricity needed to power the electrolysers must come from </w:t>
      </w:r>
      <w:r w:rsidR="00397B73">
        <w:rPr>
          <w:rFonts w:asciiTheme="majorBidi" w:hAnsiTheme="majorBidi" w:cstheme="majorBidi"/>
          <w:sz w:val="24"/>
          <w:szCs w:val="24"/>
          <w:lang w:val="en-US"/>
        </w:rPr>
        <w:t>low-carbon</w:t>
      </w:r>
      <w:r w:rsidR="00B17D4A" w:rsidRPr="00D806D9">
        <w:rPr>
          <w:rFonts w:asciiTheme="majorBidi" w:hAnsiTheme="majorBidi" w:cstheme="majorBidi"/>
          <w:sz w:val="24"/>
          <w:szCs w:val="24"/>
          <w:lang w:val="en-US"/>
        </w:rPr>
        <w:t xml:space="preserve"> sources. </w:t>
      </w:r>
      <w:r w:rsidR="00B05040" w:rsidRPr="00D806D9">
        <w:rPr>
          <w:rFonts w:asciiTheme="majorBidi" w:hAnsiTheme="majorBidi" w:cstheme="majorBidi"/>
          <w:sz w:val="24"/>
          <w:szCs w:val="24"/>
          <w:lang w:val="en-US"/>
        </w:rPr>
        <w:t xml:space="preserve">This need </w:t>
      </w:r>
      <w:r w:rsidR="000E6654">
        <w:rPr>
          <w:rFonts w:asciiTheme="majorBidi" w:hAnsiTheme="majorBidi" w:cstheme="majorBidi"/>
          <w:sz w:val="24"/>
          <w:szCs w:val="24"/>
          <w:lang w:val="en-US"/>
        </w:rPr>
        <w:t>for</w:t>
      </w:r>
      <w:r w:rsidR="00B05040" w:rsidRPr="00D806D9">
        <w:rPr>
          <w:rFonts w:asciiTheme="majorBidi" w:hAnsiTheme="majorBidi" w:cstheme="majorBidi"/>
          <w:sz w:val="24"/>
          <w:szCs w:val="24"/>
          <w:lang w:val="en-US"/>
        </w:rPr>
        <w:t xml:space="preserve"> abundant production of </w:t>
      </w:r>
      <w:r w:rsidR="00397B73">
        <w:rPr>
          <w:rFonts w:asciiTheme="majorBidi" w:hAnsiTheme="majorBidi" w:cstheme="majorBidi"/>
          <w:sz w:val="24"/>
          <w:szCs w:val="24"/>
          <w:lang w:val="en-US"/>
        </w:rPr>
        <w:t>low-carbon</w:t>
      </w:r>
      <w:r w:rsidR="00B05040" w:rsidRPr="00D806D9">
        <w:rPr>
          <w:rFonts w:asciiTheme="majorBidi" w:hAnsiTheme="majorBidi" w:cstheme="majorBidi"/>
          <w:sz w:val="24"/>
          <w:szCs w:val="24"/>
          <w:lang w:val="en-US"/>
        </w:rPr>
        <w:t xml:space="preserve"> electricity raises</w:t>
      </w:r>
      <w:r w:rsidR="00B923B3">
        <w:rPr>
          <w:rFonts w:asciiTheme="majorBidi" w:hAnsiTheme="majorBidi" w:cstheme="majorBidi"/>
          <w:sz w:val="24"/>
          <w:szCs w:val="24"/>
          <w:lang w:val="en-US"/>
        </w:rPr>
        <w:t xml:space="preserve"> some</w:t>
      </w:r>
      <w:r w:rsidR="00B05040" w:rsidRPr="00D806D9">
        <w:rPr>
          <w:rFonts w:asciiTheme="majorBidi" w:hAnsiTheme="majorBidi" w:cstheme="majorBidi"/>
          <w:sz w:val="24"/>
          <w:szCs w:val="24"/>
          <w:lang w:val="en-US"/>
        </w:rPr>
        <w:t xml:space="preserve"> questions. Indeed, Deshaies (2020) notes that "the main limit to the substitution of renewable energies for fossil energies is their low power density, which forces us to install production capacities 5 to 10 times greater than those existing in fossil energies”</w:t>
      </w:r>
      <w:r w:rsidR="00B923B3">
        <w:rPr>
          <w:rFonts w:asciiTheme="majorBidi" w:hAnsiTheme="majorBidi" w:cstheme="majorBidi"/>
          <w:sz w:val="24"/>
          <w:szCs w:val="24"/>
          <w:lang w:val="en-US"/>
        </w:rPr>
        <w:t>,</w:t>
      </w:r>
      <w:r w:rsidR="00B05040" w:rsidRPr="00D806D9">
        <w:rPr>
          <w:rFonts w:asciiTheme="majorBidi" w:hAnsiTheme="majorBidi" w:cstheme="majorBidi"/>
          <w:sz w:val="24"/>
          <w:szCs w:val="24"/>
          <w:lang w:val="en-US"/>
        </w:rPr>
        <w:t xml:space="preserve"> which forces us “to exploit considerable areas […] which is not possible in densely populated European countries. [...]”</w:t>
      </w:r>
      <w:r w:rsidR="00B05040" w:rsidRPr="00D806D9">
        <w:rPr>
          <w:rStyle w:val="FootnoteReference"/>
          <w:rFonts w:asciiTheme="majorBidi" w:hAnsiTheme="majorBidi" w:cstheme="majorBidi"/>
          <w:sz w:val="24"/>
          <w:szCs w:val="24"/>
          <w:lang w:val="en-US"/>
        </w:rPr>
        <w:footnoteReference w:id="5"/>
      </w:r>
      <w:r w:rsidR="00B05040" w:rsidRPr="00D806D9">
        <w:rPr>
          <w:rFonts w:asciiTheme="majorBidi" w:hAnsiTheme="majorBidi" w:cstheme="majorBidi"/>
          <w:sz w:val="24"/>
          <w:szCs w:val="24"/>
          <w:lang w:val="en-US"/>
        </w:rPr>
        <w:t xml:space="preserve">. </w:t>
      </w:r>
      <w:r w:rsidR="00B923B3">
        <w:rPr>
          <w:rFonts w:asciiTheme="majorBidi" w:hAnsiTheme="majorBidi" w:cstheme="majorBidi"/>
          <w:sz w:val="24"/>
          <w:szCs w:val="24"/>
          <w:lang w:val="en-US"/>
        </w:rPr>
        <w:t>In t</w:t>
      </w:r>
      <w:r w:rsidR="00B17D4A" w:rsidRPr="00D806D9">
        <w:rPr>
          <w:rFonts w:asciiTheme="majorBidi" w:hAnsiTheme="majorBidi" w:cstheme="majorBidi"/>
          <w:sz w:val="24"/>
          <w:szCs w:val="24"/>
          <w:lang w:val="en-US"/>
        </w:rPr>
        <w:t xml:space="preserve">his way, </w:t>
      </w:r>
      <w:r w:rsidR="000E6654">
        <w:rPr>
          <w:rFonts w:asciiTheme="majorBidi" w:hAnsiTheme="majorBidi" w:cstheme="majorBidi"/>
          <w:sz w:val="24"/>
          <w:szCs w:val="24"/>
          <w:lang w:val="en-US"/>
        </w:rPr>
        <w:t>land</w:t>
      </w:r>
      <w:r w:rsidR="00B17D4A" w:rsidRPr="00D806D9">
        <w:rPr>
          <w:rFonts w:asciiTheme="majorBidi" w:hAnsiTheme="majorBidi" w:cstheme="majorBidi"/>
          <w:sz w:val="24"/>
          <w:szCs w:val="24"/>
          <w:lang w:val="en-US"/>
        </w:rPr>
        <w:t xml:space="preserve"> artificialization in the EU could lead to </w:t>
      </w:r>
      <w:r w:rsidR="000E6654">
        <w:rPr>
          <w:rFonts w:asciiTheme="majorBidi" w:hAnsiTheme="majorBidi" w:cstheme="majorBidi"/>
          <w:sz w:val="24"/>
          <w:szCs w:val="24"/>
          <w:lang w:val="en-US"/>
        </w:rPr>
        <w:t xml:space="preserve">a </w:t>
      </w:r>
      <w:r w:rsidR="00B17D4A" w:rsidRPr="00D806D9">
        <w:rPr>
          <w:rFonts w:asciiTheme="majorBidi" w:hAnsiTheme="majorBidi" w:cstheme="majorBidi"/>
          <w:sz w:val="24"/>
          <w:szCs w:val="24"/>
          <w:lang w:val="en-US"/>
        </w:rPr>
        <w:t xml:space="preserve">positive carbon footprint if previous land occupation allowed a higher carbon sinkage. </w:t>
      </w:r>
      <w:r w:rsidR="003C5553" w:rsidRPr="00D806D9">
        <w:rPr>
          <w:rFonts w:asciiTheme="majorBidi" w:hAnsiTheme="majorBidi" w:cstheme="majorBidi"/>
          <w:sz w:val="24"/>
          <w:szCs w:val="24"/>
          <w:lang w:val="en-US"/>
        </w:rPr>
        <w:t xml:space="preserve">Also, </w:t>
      </w:r>
      <w:r w:rsidR="003C5553" w:rsidRPr="00D806D9">
        <w:rPr>
          <w:rFonts w:asciiTheme="majorBidi" w:eastAsia="Times New Roman" w:hAnsiTheme="majorBidi" w:cstheme="majorBidi"/>
          <w:color w:val="000000"/>
          <w:sz w:val="24"/>
          <w:szCs w:val="24"/>
          <w:lang w:val="en-US" w:eastAsia="fr-FR" w:bidi="he-IL"/>
        </w:rPr>
        <w:t xml:space="preserve">the </w:t>
      </w:r>
      <w:r w:rsidR="00581860" w:rsidRPr="00D806D9">
        <w:rPr>
          <w:rFonts w:asciiTheme="majorBidi" w:eastAsia="Times New Roman" w:hAnsiTheme="majorBidi" w:cstheme="majorBidi"/>
          <w:color w:val="000000"/>
          <w:sz w:val="24"/>
          <w:szCs w:val="24"/>
          <w:lang w:val="en-US" w:eastAsia="fr-FR" w:bidi="he-IL"/>
        </w:rPr>
        <w:t xml:space="preserve">improvement of </w:t>
      </w:r>
      <w:r w:rsidR="003C5553" w:rsidRPr="00D806D9">
        <w:rPr>
          <w:rFonts w:asciiTheme="majorBidi" w:eastAsia="Times New Roman" w:hAnsiTheme="majorBidi" w:cstheme="majorBidi"/>
          <w:sz w:val="24"/>
          <w:szCs w:val="24"/>
          <w:lang w:val="en-US" w:eastAsia="fr-FR" w:bidi="he-IL"/>
        </w:rPr>
        <w:t>renewable energy systems</w:t>
      </w:r>
      <w:r w:rsidR="00581860" w:rsidRPr="00D806D9">
        <w:rPr>
          <w:rFonts w:asciiTheme="majorBidi" w:eastAsia="Times New Roman" w:hAnsiTheme="majorBidi" w:cstheme="majorBidi"/>
          <w:sz w:val="24"/>
          <w:szCs w:val="24"/>
          <w:lang w:val="en-US" w:eastAsia="fr-FR" w:bidi="he-IL"/>
        </w:rPr>
        <w:t xml:space="preserve">’ load factor with </w:t>
      </w:r>
      <w:r w:rsidR="003C5553" w:rsidRPr="00D806D9">
        <w:rPr>
          <w:rFonts w:asciiTheme="majorBidi" w:eastAsia="Times New Roman" w:hAnsiTheme="majorBidi" w:cstheme="majorBidi"/>
          <w:sz w:val="24"/>
          <w:szCs w:val="24"/>
          <w:lang w:val="en-US" w:eastAsia="fr-FR" w:bidi="he-IL"/>
        </w:rPr>
        <w:t xml:space="preserve">the development of the technology is </w:t>
      </w:r>
      <w:r w:rsidR="00581860" w:rsidRPr="00D806D9">
        <w:rPr>
          <w:rFonts w:asciiTheme="majorBidi" w:eastAsia="Times New Roman" w:hAnsiTheme="majorBidi" w:cstheme="majorBidi"/>
          <w:sz w:val="24"/>
          <w:szCs w:val="24"/>
          <w:lang w:val="en-US" w:eastAsia="fr-FR" w:bidi="he-IL"/>
        </w:rPr>
        <w:t>compensated</w:t>
      </w:r>
      <w:r w:rsidR="003C5553" w:rsidRPr="00D806D9">
        <w:rPr>
          <w:rFonts w:asciiTheme="majorBidi" w:eastAsia="Times New Roman" w:hAnsiTheme="majorBidi" w:cstheme="majorBidi"/>
          <w:sz w:val="24"/>
          <w:szCs w:val="24"/>
          <w:lang w:val="en-US" w:eastAsia="fr-FR" w:bidi="he-IL"/>
        </w:rPr>
        <w:t xml:space="preserve"> by the diminishing returns of the land exploited, the most productive ones having been used first. </w:t>
      </w:r>
      <w:r w:rsidR="00B50509" w:rsidRPr="00D806D9">
        <w:rPr>
          <w:rFonts w:asciiTheme="majorBidi" w:eastAsia="Times New Roman" w:hAnsiTheme="majorBidi" w:cstheme="majorBidi"/>
          <w:sz w:val="24"/>
          <w:szCs w:val="24"/>
          <w:lang w:val="en-US" w:eastAsia="fr-FR" w:bidi="he-IL"/>
        </w:rPr>
        <w:t>Consequently</w:t>
      </w:r>
      <w:r w:rsidR="00B50509" w:rsidRPr="00D806D9">
        <w:rPr>
          <w:rFonts w:asciiTheme="majorBidi" w:eastAsia="Times New Roman" w:hAnsiTheme="majorBidi" w:cstheme="majorBidi"/>
          <w:color w:val="000000"/>
          <w:sz w:val="24"/>
          <w:szCs w:val="24"/>
          <w:lang w:val="en-US" w:eastAsia="fr-FR" w:bidi="he-IL"/>
        </w:rPr>
        <w:t>, c</w:t>
      </w:r>
      <w:r w:rsidR="00B50509" w:rsidRPr="00D806D9">
        <w:rPr>
          <w:rFonts w:asciiTheme="majorBidi" w:hAnsiTheme="majorBidi" w:cstheme="majorBidi"/>
          <w:sz w:val="24"/>
          <w:szCs w:val="24"/>
          <w:lang w:val="en-US"/>
        </w:rPr>
        <w:t>ountries that are heavily dependent on fossil fuels for their electric production</w:t>
      </w:r>
      <w:r w:rsidR="00F04A84">
        <w:rPr>
          <w:rFonts w:asciiTheme="majorBidi" w:hAnsiTheme="majorBidi" w:cstheme="majorBidi"/>
          <w:sz w:val="24"/>
          <w:szCs w:val="24"/>
          <w:lang w:val="en-US"/>
        </w:rPr>
        <w:t>,</w:t>
      </w:r>
      <w:r w:rsidR="00B50509" w:rsidRPr="00D806D9">
        <w:rPr>
          <w:rFonts w:asciiTheme="majorBidi" w:hAnsiTheme="majorBidi" w:cstheme="majorBidi"/>
          <w:sz w:val="24"/>
          <w:szCs w:val="24"/>
          <w:lang w:val="en-US"/>
        </w:rPr>
        <w:t xml:space="preserve"> such as Germany are currently working to secure international partnerships for massive quantities of renewable electricity or LCH produced by countries with significant solar and wind energy </w:t>
      </w:r>
      <w:r w:rsidR="000E6654">
        <w:rPr>
          <w:rFonts w:asciiTheme="majorBidi" w:hAnsiTheme="majorBidi" w:cstheme="majorBidi"/>
          <w:sz w:val="24"/>
          <w:szCs w:val="24"/>
          <w:lang w:val="en-US"/>
        </w:rPr>
        <w:t>potentials</w:t>
      </w:r>
      <w:r w:rsidR="00B50509" w:rsidRPr="00D806D9">
        <w:rPr>
          <w:rFonts w:asciiTheme="majorBidi" w:hAnsiTheme="majorBidi" w:cstheme="majorBidi"/>
          <w:sz w:val="24"/>
          <w:szCs w:val="24"/>
          <w:lang w:val="en-US"/>
        </w:rPr>
        <w:t>, such as Morocco or Chile. A</w:t>
      </w:r>
      <w:r w:rsidR="00B17D4A" w:rsidRPr="00D806D9">
        <w:rPr>
          <w:rFonts w:asciiTheme="majorBidi" w:hAnsiTheme="majorBidi" w:cstheme="majorBidi"/>
          <w:sz w:val="24"/>
          <w:szCs w:val="24"/>
          <w:lang w:val="en-US"/>
        </w:rPr>
        <w:t xml:space="preserve">n intrinsic contradiction in </w:t>
      </w:r>
      <w:r w:rsidR="00B50509" w:rsidRPr="00D806D9">
        <w:rPr>
          <w:rFonts w:asciiTheme="majorBidi" w:hAnsiTheme="majorBidi" w:cstheme="majorBidi"/>
          <w:sz w:val="24"/>
          <w:szCs w:val="24"/>
          <w:lang w:val="en-US"/>
        </w:rPr>
        <w:t xml:space="preserve">this </w:t>
      </w:r>
      <w:r w:rsidR="00761A6C">
        <w:rPr>
          <w:rFonts w:asciiTheme="majorBidi" w:hAnsiTheme="majorBidi" w:cstheme="majorBidi"/>
          <w:sz w:val="24"/>
          <w:szCs w:val="24"/>
          <w:lang w:val="en-US"/>
        </w:rPr>
        <w:t>import</w:t>
      </w:r>
      <w:r w:rsidR="00B17D4A" w:rsidRPr="00D806D9">
        <w:rPr>
          <w:rFonts w:asciiTheme="majorBidi" w:hAnsiTheme="majorBidi" w:cstheme="majorBidi"/>
          <w:sz w:val="24"/>
          <w:szCs w:val="24"/>
          <w:lang w:val="en-US"/>
        </w:rPr>
        <w:t xml:space="preserve"> configuration is the availability of water in the countries </w:t>
      </w:r>
      <w:r w:rsidR="00D00F02" w:rsidRPr="00D806D9">
        <w:rPr>
          <w:rFonts w:asciiTheme="majorBidi" w:hAnsiTheme="majorBidi" w:cstheme="majorBidi"/>
          <w:sz w:val="24"/>
          <w:szCs w:val="24"/>
          <w:lang w:val="en-US"/>
        </w:rPr>
        <w:t>previously referred to</w:t>
      </w:r>
      <w:r w:rsidR="00B17D4A" w:rsidRPr="00D806D9">
        <w:rPr>
          <w:rFonts w:asciiTheme="majorBidi" w:hAnsiTheme="majorBidi" w:cstheme="majorBidi"/>
          <w:sz w:val="24"/>
          <w:szCs w:val="24"/>
          <w:lang w:val="en-US"/>
        </w:rPr>
        <w:t>. Indeed, climate changes accentuate water scarcity in areas used for photovoltaic electricity production because of their sunshine</w:t>
      </w:r>
      <w:r w:rsidR="00F04A84">
        <w:rPr>
          <w:rFonts w:asciiTheme="majorBidi" w:hAnsiTheme="majorBidi" w:cstheme="majorBidi"/>
          <w:sz w:val="24"/>
          <w:szCs w:val="24"/>
          <w:lang w:val="en-US"/>
        </w:rPr>
        <w:t>. T</w:t>
      </w:r>
      <w:r w:rsidR="00B17D4A" w:rsidRPr="00D806D9">
        <w:rPr>
          <w:rFonts w:asciiTheme="majorBidi" w:hAnsiTheme="majorBidi" w:cstheme="majorBidi"/>
          <w:sz w:val="24"/>
          <w:szCs w:val="24"/>
          <w:lang w:val="en-US"/>
        </w:rPr>
        <w:t xml:space="preserve">he lack of water </w:t>
      </w:r>
      <w:r w:rsidR="00F04A84">
        <w:rPr>
          <w:rFonts w:asciiTheme="majorBidi" w:hAnsiTheme="majorBidi" w:cstheme="majorBidi"/>
          <w:sz w:val="24"/>
          <w:szCs w:val="24"/>
          <w:lang w:val="en-US"/>
        </w:rPr>
        <w:t xml:space="preserve">is </w:t>
      </w:r>
      <w:r w:rsidR="00B17D4A" w:rsidRPr="00D806D9">
        <w:rPr>
          <w:rFonts w:asciiTheme="majorBidi" w:hAnsiTheme="majorBidi" w:cstheme="majorBidi"/>
          <w:sz w:val="24"/>
          <w:szCs w:val="24"/>
          <w:lang w:val="en-US"/>
        </w:rPr>
        <w:t>potentially an obstacle to electrolysers deployment in the long term (Noussan</w:t>
      </w:r>
      <w:r w:rsidR="00F04A84">
        <w:rPr>
          <w:rFonts w:asciiTheme="majorBidi" w:hAnsiTheme="majorBidi" w:cstheme="majorBidi"/>
          <w:sz w:val="24"/>
          <w:szCs w:val="24"/>
          <w:lang w:val="en-US"/>
        </w:rPr>
        <w:t xml:space="preserve"> </w:t>
      </w:r>
      <w:r w:rsidR="00B17D4A" w:rsidRPr="00D806D9">
        <w:rPr>
          <w:rFonts w:asciiTheme="majorBidi" w:hAnsiTheme="majorBidi" w:cstheme="majorBidi"/>
          <w:sz w:val="24"/>
          <w:szCs w:val="24"/>
          <w:lang w:val="en-US"/>
        </w:rPr>
        <w:t>et al., 2021).</w:t>
      </w:r>
      <w:r w:rsidR="009508B1" w:rsidRPr="00D806D9">
        <w:rPr>
          <w:rFonts w:asciiTheme="majorBidi" w:hAnsiTheme="majorBidi" w:cstheme="majorBidi"/>
          <w:sz w:val="24"/>
          <w:szCs w:val="24"/>
          <w:lang w:val="en-US"/>
        </w:rPr>
        <w:t xml:space="preserve"> And as we have seen, LCH transport </w:t>
      </w:r>
      <w:r w:rsidR="00BB186E" w:rsidRPr="00D806D9">
        <w:rPr>
          <w:rFonts w:asciiTheme="majorBidi" w:hAnsiTheme="majorBidi" w:cstheme="majorBidi"/>
          <w:sz w:val="24"/>
          <w:szCs w:val="24"/>
          <w:lang w:val="en-US"/>
        </w:rPr>
        <w:t>involves high energy losses.</w:t>
      </w:r>
      <w:r w:rsidR="00B17D4A" w:rsidRPr="00D806D9">
        <w:rPr>
          <w:rFonts w:asciiTheme="majorBidi" w:hAnsiTheme="majorBidi" w:cstheme="majorBidi"/>
          <w:sz w:val="24"/>
          <w:szCs w:val="24"/>
          <w:lang w:val="en-US"/>
        </w:rPr>
        <w:t xml:space="preserve"> Moreover, </w:t>
      </w:r>
      <w:r w:rsidR="004F5F58" w:rsidRPr="00D806D9">
        <w:rPr>
          <w:rFonts w:asciiTheme="majorBidi" w:hAnsiTheme="majorBidi" w:cstheme="majorBidi"/>
          <w:sz w:val="24"/>
          <w:szCs w:val="24"/>
          <w:lang w:val="en-US"/>
        </w:rPr>
        <w:t>prohibitive costs</w:t>
      </w:r>
      <w:r w:rsidR="00B17D4A" w:rsidRPr="00D806D9">
        <w:rPr>
          <w:rFonts w:asciiTheme="majorBidi" w:hAnsiTheme="majorBidi" w:cstheme="majorBidi"/>
          <w:sz w:val="24"/>
          <w:szCs w:val="24"/>
          <w:lang w:val="en-US"/>
        </w:rPr>
        <w:t xml:space="preserve"> </w:t>
      </w:r>
      <w:r w:rsidR="004F5F58" w:rsidRPr="00D806D9">
        <w:rPr>
          <w:rFonts w:asciiTheme="majorBidi" w:hAnsiTheme="majorBidi" w:cstheme="majorBidi"/>
          <w:sz w:val="24"/>
          <w:szCs w:val="24"/>
          <w:lang w:val="en-US"/>
        </w:rPr>
        <w:t xml:space="preserve">augmented by </w:t>
      </w:r>
      <w:r w:rsidR="000C7BA1" w:rsidRPr="00D806D9">
        <w:rPr>
          <w:rFonts w:asciiTheme="majorBidi" w:hAnsiTheme="majorBidi" w:cstheme="majorBidi"/>
          <w:sz w:val="24"/>
          <w:szCs w:val="24"/>
          <w:lang w:val="en-US"/>
        </w:rPr>
        <w:t>an extremely limited</w:t>
      </w:r>
      <w:r w:rsidR="00B17D4A" w:rsidRPr="00D806D9">
        <w:rPr>
          <w:rFonts w:asciiTheme="majorBidi" w:hAnsiTheme="majorBidi" w:cstheme="majorBidi"/>
          <w:sz w:val="24"/>
          <w:szCs w:val="24"/>
          <w:lang w:val="en-US"/>
        </w:rPr>
        <w:t xml:space="preserve"> electrical production capacity</w:t>
      </w:r>
      <w:r w:rsidR="000C7BA1" w:rsidRPr="00D806D9">
        <w:rPr>
          <w:rFonts w:asciiTheme="majorBidi" w:hAnsiTheme="majorBidi" w:cstheme="majorBidi"/>
          <w:sz w:val="24"/>
          <w:szCs w:val="24"/>
          <w:lang w:val="en-US"/>
        </w:rPr>
        <w:t xml:space="preserve"> hamper electrolysers massification</w:t>
      </w:r>
      <w:r w:rsidR="00B17D4A" w:rsidRPr="00D806D9">
        <w:rPr>
          <w:rFonts w:asciiTheme="majorBidi" w:hAnsiTheme="majorBidi" w:cstheme="majorBidi"/>
          <w:sz w:val="24"/>
          <w:szCs w:val="24"/>
          <w:lang w:val="en-US"/>
        </w:rPr>
        <w:t xml:space="preserve">. These costs are high </w:t>
      </w:r>
      <w:r w:rsidR="000E6654">
        <w:rPr>
          <w:rFonts w:asciiTheme="majorBidi" w:hAnsiTheme="majorBidi" w:cstheme="majorBidi"/>
          <w:sz w:val="24"/>
          <w:szCs w:val="24"/>
          <w:lang w:val="en-US"/>
        </w:rPr>
        <w:t>compared</w:t>
      </w:r>
      <w:r w:rsidR="00B17D4A" w:rsidRPr="00D806D9">
        <w:rPr>
          <w:rFonts w:asciiTheme="majorBidi" w:hAnsiTheme="majorBidi" w:cstheme="majorBidi"/>
          <w:sz w:val="24"/>
          <w:szCs w:val="24"/>
          <w:lang w:val="en-US"/>
        </w:rPr>
        <w:t xml:space="preserve"> to fossil fuel</w:t>
      </w:r>
      <w:r w:rsidR="000C7BA1" w:rsidRPr="00D806D9">
        <w:rPr>
          <w:rFonts w:asciiTheme="majorBidi" w:hAnsiTheme="majorBidi" w:cstheme="majorBidi"/>
          <w:sz w:val="24"/>
          <w:szCs w:val="24"/>
          <w:lang w:val="en-US"/>
        </w:rPr>
        <w:t>s</w:t>
      </w:r>
      <w:r w:rsidR="00B17D4A" w:rsidRPr="00D806D9">
        <w:rPr>
          <w:rFonts w:asciiTheme="majorBidi" w:hAnsiTheme="majorBidi" w:cstheme="majorBidi"/>
          <w:sz w:val="24"/>
          <w:szCs w:val="24"/>
          <w:lang w:val="en-US"/>
        </w:rPr>
        <w:t>-based solutions due to the price of electricity used as an input</w:t>
      </w:r>
      <w:r w:rsidR="00D57B57" w:rsidRPr="00D806D9">
        <w:rPr>
          <w:rFonts w:asciiTheme="majorBidi" w:hAnsiTheme="majorBidi" w:cstheme="majorBidi"/>
          <w:sz w:val="24"/>
          <w:szCs w:val="24"/>
          <w:lang w:val="en-US"/>
        </w:rPr>
        <w:t>.</w:t>
      </w:r>
      <w:r w:rsidR="00B17D4A" w:rsidRPr="00D806D9">
        <w:rPr>
          <w:rFonts w:asciiTheme="majorBidi" w:hAnsiTheme="majorBidi" w:cstheme="majorBidi"/>
          <w:sz w:val="24"/>
          <w:szCs w:val="24"/>
          <w:lang w:val="en-US"/>
        </w:rPr>
        <w:t xml:space="preserve"> Moreover, the power-to-gas-to-power </w:t>
      </w:r>
      <w:r w:rsidR="002D4C4B" w:rsidRPr="00D806D9">
        <w:rPr>
          <w:rFonts w:asciiTheme="majorBidi" w:hAnsiTheme="majorBidi" w:cstheme="majorBidi"/>
          <w:sz w:val="24"/>
          <w:szCs w:val="24"/>
          <w:lang w:val="en-US"/>
        </w:rPr>
        <w:t>configuration</w:t>
      </w:r>
      <w:r w:rsidR="00B17D4A" w:rsidRPr="00D806D9">
        <w:rPr>
          <w:rFonts w:asciiTheme="majorBidi" w:hAnsiTheme="majorBidi" w:cstheme="majorBidi"/>
          <w:sz w:val="24"/>
          <w:szCs w:val="24"/>
          <w:lang w:val="en-US"/>
        </w:rPr>
        <w:t xml:space="preserve"> (allowing LCH</w:t>
      </w:r>
      <w:r w:rsidR="002D4C4B" w:rsidRPr="00D806D9">
        <w:rPr>
          <w:rFonts w:asciiTheme="majorBidi" w:hAnsiTheme="majorBidi" w:cstheme="majorBidi"/>
          <w:sz w:val="24"/>
          <w:szCs w:val="24"/>
          <w:lang w:val="en-US"/>
        </w:rPr>
        <w:t xml:space="preserve"> </w:t>
      </w:r>
      <w:r w:rsidR="002D4C4B" w:rsidRPr="00D806D9">
        <w:rPr>
          <w:rFonts w:asciiTheme="majorBidi" w:hAnsiTheme="majorBidi" w:cstheme="majorBidi"/>
          <w:sz w:val="24"/>
          <w:szCs w:val="24"/>
          <w:lang w:val="en-US"/>
        </w:rPr>
        <w:lastRenderedPageBreak/>
        <w:t>production from electrolysis to be</w:t>
      </w:r>
      <w:r w:rsidR="00B17D4A" w:rsidRPr="00D806D9">
        <w:rPr>
          <w:rFonts w:asciiTheme="majorBidi" w:hAnsiTheme="majorBidi" w:cstheme="majorBidi"/>
          <w:sz w:val="24"/>
          <w:szCs w:val="24"/>
          <w:lang w:val="en-US"/>
        </w:rPr>
        <w:t xml:space="preserve"> </w:t>
      </w:r>
      <w:r w:rsidR="000B5F40">
        <w:rPr>
          <w:rFonts w:asciiTheme="majorBidi" w:hAnsiTheme="majorBidi" w:cstheme="majorBidi"/>
          <w:sz w:val="24"/>
          <w:szCs w:val="24"/>
          <w:lang w:val="en-US"/>
        </w:rPr>
        <w:t>after that</w:t>
      </w:r>
      <w:r w:rsidR="00B17D4A" w:rsidRPr="00D806D9">
        <w:rPr>
          <w:rFonts w:asciiTheme="majorBidi" w:hAnsiTheme="majorBidi" w:cstheme="majorBidi"/>
          <w:sz w:val="24"/>
          <w:szCs w:val="24"/>
          <w:lang w:val="en-US"/>
        </w:rPr>
        <w:t xml:space="preserve"> reinjected into the grid) currently has a low energy yield of around 25% as electrolysers capacity remains limited, around 1 MW (Ibid.). As a result, "</w:t>
      </w:r>
      <w:r w:rsidR="00576084" w:rsidRPr="00D806D9">
        <w:rPr>
          <w:rFonts w:asciiTheme="majorBidi" w:hAnsiTheme="majorBidi" w:cstheme="majorBidi"/>
          <w:sz w:val="24"/>
          <w:szCs w:val="24"/>
          <w:lang w:val="en-US"/>
        </w:rPr>
        <w:t>switching the current annual EU hydrogen production of 9.75</w:t>
      </w:r>
      <w:bookmarkStart w:id="5" w:name="_Hlk110429160"/>
      <w:r w:rsidR="002D4C4B" w:rsidRPr="00D806D9">
        <w:rPr>
          <w:rFonts w:asciiTheme="majorBidi" w:hAnsiTheme="majorBidi" w:cstheme="majorBidi"/>
          <w:sz w:val="24"/>
          <w:szCs w:val="24"/>
          <w:lang w:val="en-US"/>
        </w:rPr>
        <w:t>M</w:t>
      </w:r>
      <w:r w:rsidR="00576084" w:rsidRPr="00D806D9">
        <w:rPr>
          <w:rFonts w:asciiTheme="majorBidi" w:hAnsiTheme="majorBidi" w:cstheme="majorBidi"/>
          <w:sz w:val="24"/>
          <w:szCs w:val="24"/>
          <w:lang w:val="en-US"/>
        </w:rPr>
        <w:t xml:space="preserve">t </w:t>
      </w:r>
      <w:bookmarkEnd w:id="5"/>
      <w:r w:rsidR="00576084" w:rsidRPr="00D806D9">
        <w:rPr>
          <w:rFonts w:asciiTheme="majorBidi" w:hAnsiTheme="majorBidi" w:cstheme="majorBidi"/>
          <w:sz w:val="24"/>
          <w:szCs w:val="24"/>
          <w:lang w:val="en-US"/>
        </w:rPr>
        <w:t xml:space="preserve">to electrolysis would require 290 </w:t>
      </w:r>
      <w:bookmarkStart w:id="6" w:name="_Hlk110429166"/>
      <w:r w:rsidR="00576084" w:rsidRPr="00D806D9">
        <w:rPr>
          <w:rFonts w:asciiTheme="majorBidi" w:hAnsiTheme="majorBidi" w:cstheme="majorBidi"/>
          <w:sz w:val="24"/>
          <w:szCs w:val="24"/>
          <w:lang w:val="en-US"/>
        </w:rPr>
        <w:t xml:space="preserve">TWh </w:t>
      </w:r>
      <w:bookmarkEnd w:id="6"/>
      <w:r w:rsidR="00576084" w:rsidRPr="00D806D9">
        <w:rPr>
          <w:rFonts w:asciiTheme="majorBidi" w:hAnsiTheme="majorBidi" w:cstheme="majorBidi"/>
          <w:sz w:val="24"/>
          <w:szCs w:val="24"/>
          <w:lang w:val="en-US"/>
        </w:rPr>
        <w:t>of electricity (about 10% of current production)</w:t>
      </w:r>
      <w:r w:rsidR="00B17D4A" w:rsidRPr="00D806D9">
        <w:rPr>
          <w:rFonts w:asciiTheme="majorBidi" w:hAnsiTheme="majorBidi" w:cstheme="majorBidi"/>
          <w:sz w:val="24"/>
          <w:szCs w:val="24"/>
          <w:lang w:val="en-US"/>
        </w:rPr>
        <w:t>." (</w:t>
      </w:r>
      <w:r w:rsidR="00576084" w:rsidRPr="00D806D9">
        <w:rPr>
          <w:rFonts w:asciiTheme="majorBidi" w:hAnsiTheme="majorBidi" w:cstheme="majorBidi"/>
          <w:sz w:val="24"/>
          <w:szCs w:val="24"/>
          <w:lang w:val="en-US"/>
        </w:rPr>
        <w:t>Kakoulaki et al.</w:t>
      </w:r>
      <w:r w:rsidR="00B17D4A" w:rsidRPr="00D806D9">
        <w:rPr>
          <w:rFonts w:asciiTheme="majorBidi" w:hAnsiTheme="majorBidi" w:cstheme="majorBidi"/>
          <w:sz w:val="24"/>
          <w:szCs w:val="24"/>
          <w:lang w:val="en-US"/>
        </w:rPr>
        <w:t>, 20</w:t>
      </w:r>
      <w:r w:rsidR="00576084" w:rsidRPr="00D806D9">
        <w:rPr>
          <w:rFonts w:asciiTheme="majorBidi" w:hAnsiTheme="majorBidi" w:cstheme="majorBidi"/>
          <w:sz w:val="24"/>
          <w:szCs w:val="24"/>
          <w:lang w:val="en-US"/>
        </w:rPr>
        <w:t>21</w:t>
      </w:r>
      <w:r w:rsidR="00B17D4A" w:rsidRPr="00D806D9">
        <w:rPr>
          <w:rFonts w:asciiTheme="majorBidi" w:hAnsiTheme="majorBidi" w:cstheme="majorBidi"/>
          <w:sz w:val="24"/>
          <w:szCs w:val="24"/>
          <w:lang w:val="en-US"/>
        </w:rPr>
        <w:t>, p.</w:t>
      </w:r>
      <w:r w:rsidR="00576084" w:rsidRPr="00D806D9">
        <w:rPr>
          <w:rFonts w:asciiTheme="majorBidi" w:hAnsiTheme="majorBidi" w:cstheme="majorBidi"/>
          <w:sz w:val="24"/>
          <w:szCs w:val="24"/>
          <w:lang w:val="en-US"/>
        </w:rPr>
        <w:t>9</w:t>
      </w:r>
      <w:r w:rsidR="00B17D4A" w:rsidRPr="00D806D9">
        <w:rPr>
          <w:rFonts w:asciiTheme="majorBidi" w:hAnsiTheme="majorBidi" w:cstheme="majorBidi"/>
          <w:sz w:val="24"/>
          <w:szCs w:val="24"/>
          <w:lang w:val="en-US"/>
        </w:rPr>
        <w:t>)</w:t>
      </w:r>
      <w:r w:rsidR="009E6060" w:rsidRPr="00D806D9">
        <w:rPr>
          <w:rFonts w:asciiTheme="majorBidi" w:hAnsiTheme="majorBidi" w:cstheme="majorBidi"/>
          <w:sz w:val="24"/>
          <w:szCs w:val="24"/>
          <w:lang w:val="en-US"/>
        </w:rPr>
        <w:t xml:space="preserve"> Finally, </w:t>
      </w:r>
      <w:r w:rsidR="00A17FDE" w:rsidRPr="00D806D9">
        <w:rPr>
          <w:rFonts w:asciiTheme="majorBidi" w:hAnsiTheme="majorBidi" w:cstheme="majorBidi"/>
          <w:sz w:val="24"/>
          <w:szCs w:val="24"/>
          <w:lang w:val="en-US"/>
        </w:rPr>
        <w:t xml:space="preserve">current </w:t>
      </w:r>
      <w:r w:rsidR="009E6060" w:rsidRPr="00D806D9">
        <w:rPr>
          <w:rFonts w:asciiTheme="majorBidi" w:hAnsiTheme="majorBidi" w:cstheme="majorBidi"/>
          <w:sz w:val="24"/>
          <w:szCs w:val="24"/>
          <w:lang w:val="en-US"/>
        </w:rPr>
        <w:t xml:space="preserve">electrolysers technologies currently rely on rare metals extraction </w:t>
      </w:r>
      <w:r w:rsidR="000873F3" w:rsidRPr="00D806D9">
        <w:rPr>
          <w:rFonts w:asciiTheme="majorBidi" w:hAnsiTheme="majorBidi" w:cstheme="majorBidi"/>
          <w:sz w:val="24"/>
          <w:szCs w:val="24"/>
          <w:lang w:val="en-US"/>
        </w:rPr>
        <w:t>(scandium and iridium in particular)</w:t>
      </w:r>
      <w:r w:rsidR="000B5F40">
        <w:rPr>
          <w:rFonts w:asciiTheme="majorBidi" w:hAnsiTheme="majorBidi" w:cstheme="majorBidi"/>
          <w:sz w:val="24"/>
          <w:szCs w:val="24"/>
          <w:lang w:val="en-US"/>
        </w:rPr>
        <w:t>,</w:t>
      </w:r>
      <w:r w:rsidR="000873F3" w:rsidRPr="00D806D9">
        <w:rPr>
          <w:rFonts w:asciiTheme="majorBidi" w:hAnsiTheme="majorBidi" w:cstheme="majorBidi"/>
          <w:sz w:val="24"/>
          <w:szCs w:val="24"/>
          <w:lang w:val="en-US"/>
        </w:rPr>
        <w:t xml:space="preserve"> </w:t>
      </w:r>
      <w:r w:rsidR="009E6060" w:rsidRPr="00D806D9">
        <w:rPr>
          <w:rFonts w:asciiTheme="majorBidi" w:hAnsiTheme="majorBidi" w:cstheme="majorBidi"/>
          <w:sz w:val="24"/>
          <w:szCs w:val="24"/>
          <w:lang w:val="en-US"/>
        </w:rPr>
        <w:t>which is a polluting process</w:t>
      </w:r>
      <w:r w:rsidR="000873F3" w:rsidRPr="00D806D9">
        <w:rPr>
          <w:rFonts w:asciiTheme="majorBidi" w:hAnsiTheme="majorBidi" w:cstheme="majorBidi"/>
          <w:sz w:val="24"/>
          <w:szCs w:val="24"/>
          <w:lang w:val="en-US"/>
        </w:rPr>
        <w:t>. Their supply is also small, highly concentrated, limited to a few countries</w:t>
      </w:r>
      <w:r w:rsidR="000E6654">
        <w:rPr>
          <w:rFonts w:asciiTheme="majorBidi" w:hAnsiTheme="majorBidi" w:cstheme="majorBidi"/>
          <w:sz w:val="24"/>
          <w:szCs w:val="24"/>
          <w:lang w:val="en-US"/>
        </w:rPr>
        <w:t>,</w:t>
      </w:r>
      <w:r w:rsidR="000873F3" w:rsidRPr="00D806D9">
        <w:rPr>
          <w:rFonts w:asciiTheme="majorBidi" w:hAnsiTheme="majorBidi" w:cstheme="majorBidi"/>
          <w:sz w:val="24"/>
          <w:szCs w:val="24"/>
          <w:lang w:val="en-US"/>
        </w:rPr>
        <w:t xml:space="preserve"> and untransparent</w:t>
      </w:r>
      <w:r w:rsidR="000B5F40">
        <w:rPr>
          <w:rFonts w:asciiTheme="majorBidi" w:hAnsiTheme="majorBidi" w:cstheme="majorBidi"/>
          <w:sz w:val="24"/>
          <w:szCs w:val="24"/>
          <w:lang w:val="en-US"/>
        </w:rPr>
        <w:t>,</w:t>
      </w:r>
      <w:r w:rsidR="000873F3" w:rsidRPr="00D806D9">
        <w:rPr>
          <w:rFonts w:asciiTheme="majorBidi" w:hAnsiTheme="majorBidi" w:cstheme="majorBidi"/>
          <w:sz w:val="24"/>
          <w:szCs w:val="24"/>
          <w:lang w:val="en-US"/>
        </w:rPr>
        <w:t xml:space="preserve"> therefore representing a risk (</w:t>
      </w:r>
      <w:r w:rsidR="00D660E0" w:rsidRPr="00D806D9">
        <w:rPr>
          <w:rFonts w:asciiTheme="majorBidi" w:hAnsiTheme="majorBidi" w:cstheme="majorBidi"/>
          <w:sz w:val="24"/>
          <w:szCs w:val="24"/>
          <w:lang w:val="en-US"/>
        </w:rPr>
        <w:t>DERA, 2021)</w:t>
      </w:r>
      <w:r w:rsidR="009E6060" w:rsidRPr="00D806D9">
        <w:rPr>
          <w:rFonts w:asciiTheme="majorBidi" w:hAnsiTheme="majorBidi" w:cstheme="majorBidi"/>
          <w:sz w:val="24"/>
          <w:szCs w:val="24"/>
          <w:lang w:val="en-US"/>
        </w:rPr>
        <w:t xml:space="preserve">. </w:t>
      </w:r>
      <w:r w:rsidR="00B17D4A" w:rsidRPr="00D806D9">
        <w:rPr>
          <w:rFonts w:asciiTheme="majorBidi" w:hAnsiTheme="majorBidi" w:cstheme="majorBidi"/>
          <w:sz w:val="24"/>
          <w:szCs w:val="24"/>
          <w:lang w:val="en-US"/>
        </w:rPr>
        <w:t xml:space="preserve">Considering </w:t>
      </w:r>
      <w:r w:rsidR="00053C3B" w:rsidRPr="00D806D9">
        <w:rPr>
          <w:rFonts w:asciiTheme="majorBidi" w:hAnsiTheme="majorBidi" w:cstheme="majorBidi"/>
          <w:sz w:val="24"/>
          <w:szCs w:val="24"/>
          <w:lang w:val="en-US"/>
        </w:rPr>
        <w:t>these elements</w:t>
      </w:r>
      <w:r w:rsidR="00B17D4A" w:rsidRPr="00D806D9">
        <w:rPr>
          <w:rFonts w:asciiTheme="majorBidi" w:hAnsiTheme="majorBidi" w:cstheme="majorBidi"/>
          <w:sz w:val="24"/>
          <w:szCs w:val="24"/>
          <w:lang w:val="en-US"/>
        </w:rPr>
        <w:t xml:space="preserve">, the possibility of electrolysis allowing </w:t>
      </w:r>
      <w:r w:rsidR="00053C3B" w:rsidRPr="00D806D9">
        <w:rPr>
          <w:rFonts w:asciiTheme="majorBidi" w:hAnsiTheme="majorBidi" w:cstheme="majorBidi"/>
          <w:sz w:val="24"/>
          <w:szCs w:val="24"/>
          <w:lang w:val="en-US"/>
        </w:rPr>
        <w:t xml:space="preserve">for </w:t>
      </w:r>
      <w:r w:rsidR="00B17D4A" w:rsidRPr="00D806D9">
        <w:rPr>
          <w:rFonts w:asciiTheme="majorBidi" w:hAnsiTheme="majorBidi" w:cstheme="majorBidi"/>
          <w:sz w:val="24"/>
          <w:szCs w:val="24"/>
          <w:lang w:val="en-US"/>
        </w:rPr>
        <w:t xml:space="preserve">a large LHC production is extremely limited, not even to mention rapidly </w:t>
      </w:r>
      <w:r w:rsidR="00053C3B" w:rsidRPr="00D806D9">
        <w:rPr>
          <w:rFonts w:asciiTheme="majorBidi" w:hAnsiTheme="majorBidi" w:cstheme="majorBidi"/>
          <w:sz w:val="24"/>
          <w:szCs w:val="24"/>
          <w:lang w:val="en-US"/>
        </w:rPr>
        <w:t xml:space="preserve">to meet </w:t>
      </w:r>
      <w:r w:rsidR="00B17D4A" w:rsidRPr="00D806D9">
        <w:rPr>
          <w:rFonts w:asciiTheme="majorBidi" w:hAnsiTheme="majorBidi" w:cstheme="majorBidi"/>
          <w:sz w:val="24"/>
          <w:szCs w:val="24"/>
          <w:lang w:val="en-US"/>
        </w:rPr>
        <w:t xml:space="preserve">commitments </w:t>
      </w:r>
      <w:r w:rsidR="00053C3B" w:rsidRPr="00D806D9">
        <w:rPr>
          <w:rFonts w:asciiTheme="majorBidi" w:hAnsiTheme="majorBidi" w:cstheme="majorBidi"/>
          <w:sz w:val="24"/>
          <w:szCs w:val="24"/>
          <w:lang w:val="en-US"/>
        </w:rPr>
        <w:t xml:space="preserve">made under </w:t>
      </w:r>
      <w:r w:rsidR="00B17D4A" w:rsidRPr="00D806D9">
        <w:rPr>
          <w:rFonts w:asciiTheme="majorBidi" w:hAnsiTheme="majorBidi" w:cstheme="majorBidi"/>
          <w:sz w:val="24"/>
          <w:szCs w:val="24"/>
          <w:lang w:val="en-US"/>
        </w:rPr>
        <w:t>the PA.</w:t>
      </w:r>
    </w:p>
    <w:p w14:paraId="09E56AA2" w14:textId="512F2D20" w:rsidR="00E83AE2" w:rsidRPr="00D806D9" w:rsidRDefault="006C1D98"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Hydrogen is therefore a product responsible </w:t>
      </w:r>
      <w:r w:rsidR="000E6654">
        <w:rPr>
          <w:rFonts w:asciiTheme="majorBidi" w:hAnsiTheme="majorBidi" w:cstheme="majorBidi"/>
          <w:sz w:val="24"/>
          <w:szCs w:val="24"/>
          <w:lang w:val="en-US"/>
        </w:rPr>
        <w:t>for</w:t>
      </w:r>
      <w:r w:rsidRPr="00D806D9">
        <w:rPr>
          <w:rFonts w:asciiTheme="majorBidi" w:hAnsiTheme="majorBidi" w:cstheme="majorBidi"/>
          <w:sz w:val="24"/>
          <w:szCs w:val="24"/>
          <w:lang w:val="en-US"/>
        </w:rPr>
        <w:t xml:space="preserve"> </w:t>
      </w:r>
      <w:r w:rsidR="0057344C" w:rsidRPr="00D806D9">
        <w:rPr>
          <w:rFonts w:asciiTheme="majorBidi" w:hAnsiTheme="majorBidi" w:cstheme="majorBidi"/>
          <w:sz w:val="24"/>
          <w:szCs w:val="24"/>
          <w:lang w:val="en-US"/>
        </w:rPr>
        <w:t>significant</w:t>
      </w:r>
      <w:r w:rsidRPr="00D806D9">
        <w:rPr>
          <w:rFonts w:asciiTheme="majorBidi" w:hAnsiTheme="majorBidi" w:cstheme="majorBidi"/>
          <w:sz w:val="24"/>
          <w:szCs w:val="24"/>
          <w:lang w:val="en-US"/>
        </w:rPr>
        <w:t xml:space="preserve"> GHGE</w:t>
      </w:r>
      <w:r w:rsidR="00E017D3"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The technologies</w:t>
      </w:r>
      <w:r w:rsidR="00BA468A"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on which LCH </w:t>
      </w:r>
      <w:r w:rsidR="00B17D4A" w:rsidRPr="00D806D9">
        <w:rPr>
          <w:rFonts w:asciiTheme="majorBidi" w:hAnsiTheme="majorBidi" w:cstheme="majorBidi"/>
          <w:sz w:val="24"/>
          <w:szCs w:val="24"/>
          <w:lang w:val="en-US"/>
        </w:rPr>
        <w:t xml:space="preserve">projections are based </w:t>
      </w:r>
      <w:r w:rsidRPr="00D806D9">
        <w:rPr>
          <w:rFonts w:asciiTheme="majorBidi" w:hAnsiTheme="majorBidi" w:cstheme="majorBidi"/>
          <w:sz w:val="24"/>
          <w:szCs w:val="24"/>
          <w:lang w:val="en-US"/>
        </w:rPr>
        <w:t>are</w:t>
      </w:r>
      <w:r w:rsidR="00BA468A" w:rsidRPr="00D806D9">
        <w:rPr>
          <w:rFonts w:asciiTheme="majorBidi" w:hAnsiTheme="majorBidi" w:cstheme="majorBidi"/>
          <w:sz w:val="24"/>
          <w:szCs w:val="24"/>
          <w:lang w:val="en-US"/>
        </w:rPr>
        <w:t xml:space="preserve"> </w:t>
      </w:r>
      <w:r w:rsidR="00B17D4A" w:rsidRPr="00D806D9">
        <w:rPr>
          <w:rFonts w:asciiTheme="majorBidi" w:hAnsiTheme="majorBidi" w:cstheme="majorBidi"/>
          <w:sz w:val="24"/>
          <w:szCs w:val="24"/>
          <w:lang w:val="en-US"/>
        </w:rPr>
        <w:t xml:space="preserve">still </w:t>
      </w:r>
      <w:r w:rsidR="000B5F40">
        <w:rPr>
          <w:rFonts w:asciiTheme="majorBidi" w:hAnsiTheme="majorBidi" w:cstheme="majorBidi"/>
          <w:sz w:val="24"/>
          <w:szCs w:val="24"/>
          <w:lang w:val="en-US"/>
        </w:rPr>
        <w:t>in</w:t>
      </w:r>
      <w:r w:rsidR="00B17D4A" w:rsidRPr="00D806D9">
        <w:rPr>
          <w:rFonts w:asciiTheme="majorBidi" w:hAnsiTheme="majorBidi" w:cstheme="majorBidi"/>
          <w:sz w:val="24"/>
          <w:szCs w:val="24"/>
          <w:lang w:val="en-US"/>
        </w:rPr>
        <w:t xml:space="preserve"> the R&amp;D stage</w:t>
      </w:r>
      <w:r w:rsidR="0057344C" w:rsidRPr="00D806D9">
        <w:rPr>
          <w:rFonts w:asciiTheme="majorBidi" w:hAnsiTheme="majorBidi" w:cstheme="majorBidi"/>
          <w:sz w:val="24"/>
          <w:szCs w:val="24"/>
          <w:lang w:val="en-US"/>
        </w:rPr>
        <w:t xml:space="preserve">. </w:t>
      </w:r>
      <w:r w:rsidR="00B3520B"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f LCH has the potential to lower GHGE of hard-to-abate industries and to be used as </w:t>
      </w:r>
      <w:r w:rsidR="000E6654">
        <w:rPr>
          <w:rFonts w:asciiTheme="majorBidi" w:hAnsiTheme="majorBidi" w:cstheme="majorBidi"/>
          <w:sz w:val="24"/>
          <w:szCs w:val="24"/>
          <w:lang w:val="en-US"/>
        </w:rPr>
        <w:t xml:space="preserve">an </w:t>
      </w:r>
      <w:r w:rsidRPr="00D806D9">
        <w:rPr>
          <w:rFonts w:asciiTheme="majorBidi" w:hAnsiTheme="majorBidi" w:cstheme="majorBidi"/>
          <w:sz w:val="24"/>
          <w:szCs w:val="24"/>
          <w:lang w:val="en-US"/>
        </w:rPr>
        <w:t>energy storage solution</w:t>
      </w:r>
      <w:r w:rsidR="00F53B5C">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for the electrical surplus produced by renewable</w:t>
      </w:r>
      <w:r w:rsidR="00B3520B" w:rsidRPr="00D806D9">
        <w:rPr>
          <w:rFonts w:asciiTheme="majorBidi" w:hAnsiTheme="majorBidi" w:cstheme="majorBidi"/>
          <w:sz w:val="24"/>
          <w:szCs w:val="24"/>
          <w:lang w:val="en-US"/>
        </w:rPr>
        <w:t xml:space="preserve"> electricity technologies that cannot be used </w:t>
      </w:r>
      <w:r w:rsidR="00C37CF2" w:rsidRPr="00D806D9">
        <w:rPr>
          <w:rFonts w:asciiTheme="majorBidi" w:hAnsiTheme="majorBidi" w:cstheme="majorBidi"/>
          <w:sz w:val="24"/>
          <w:szCs w:val="24"/>
          <w:lang w:val="en-US"/>
        </w:rPr>
        <w:t>immediately on</w:t>
      </w:r>
      <w:r w:rsidR="00B3520B" w:rsidRPr="00D806D9">
        <w:rPr>
          <w:rFonts w:asciiTheme="majorBidi" w:hAnsiTheme="majorBidi" w:cstheme="majorBidi"/>
          <w:sz w:val="24"/>
          <w:szCs w:val="24"/>
          <w:lang w:val="en-US"/>
        </w:rPr>
        <w:t xml:space="preserve"> the grid, its energy efficiency</w:t>
      </w:r>
      <w:r w:rsidR="00C37CF2" w:rsidRPr="00D806D9">
        <w:rPr>
          <w:rFonts w:asciiTheme="majorBidi" w:hAnsiTheme="majorBidi" w:cstheme="majorBidi"/>
          <w:sz w:val="24"/>
          <w:szCs w:val="24"/>
          <w:lang w:val="en-US"/>
        </w:rPr>
        <w:t xml:space="preserve"> </w:t>
      </w:r>
      <w:r w:rsidR="00B3520B" w:rsidRPr="00D806D9">
        <w:rPr>
          <w:rFonts w:asciiTheme="majorBidi" w:hAnsiTheme="majorBidi" w:cstheme="majorBidi"/>
          <w:sz w:val="24"/>
          <w:szCs w:val="24"/>
          <w:lang w:val="en-US"/>
        </w:rPr>
        <w:t>is problematic.</w:t>
      </w:r>
      <w:r w:rsidR="00B17D4A" w:rsidRPr="00D806D9">
        <w:rPr>
          <w:rFonts w:asciiTheme="majorBidi" w:hAnsiTheme="majorBidi" w:cstheme="majorBidi"/>
          <w:sz w:val="24"/>
          <w:szCs w:val="24"/>
          <w:lang w:val="en-US"/>
        </w:rPr>
        <w:t xml:space="preserve"> </w:t>
      </w:r>
      <w:r w:rsidR="00B3520B" w:rsidRPr="00D806D9">
        <w:rPr>
          <w:rFonts w:asciiTheme="majorBidi" w:hAnsiTheme="majorBidi" w:cstheme="majorBidi"/>
          <w:sz w:val="24"/>
          <w:szCs w:val="24"/>
          <w:lang w:val="en-US"/>
        </w:rPr>
        <w:t>Indeed,</w:t>
      </w:r>
      <w:r w:rsidR="007C4A16" w:rsidRPr="00D806D9">
        <w:rPr>
          <w:rFonts w:asciiTheme="majorBidi" w:hAnsiTheme="majorBidi" w:cstheme="majorBidi"/>
          <w:sz w:val="24"/>
          <w:szCs w:val="24"/>
          <w:lang w:val="en-US"/>
        </w:rPr>
        <w:t xml:space="preserve"> </w:t>
      </w:r>
      <w:r w:rsidR="00E017D3" w:rsidRPr="00D806D9">
        <w:rPr>
          <w:rFonts w:asciiTheme="majorBidi" w:hAnsiTheme="majorBidi" w:cstheme="majorBidi"/>
          <w:sz w:val="24"/>
          <w:szCs w:val="24"/>
          <w:lang w:val="en-US"/>
        </w:rPr>
        <w:t>energy losses implied for its transport, storage</w:t>
      </w:r>
      <w:r w:rsidR="000E6654">
        <w:rPr>
          <w:rFonts w:asciiTheme="majorBidi" w:hAnsiTheme="majorBidi" w:cstheme="majorBidi"/>
          <w:sz w:val="24"/>
          <w:szCs w:val="24"/>
          <w:lang w:val="en-US"/>
        </w:rPr>
        <w:t>,</w:t>
      </w:r>
      <w:r w:rsidR="00E017D3" w:rsidRPr="00D806D9">
        <w:rPr>
          <w:rFonts w:asciiTheme="majorBidi" w:hAnsiTheme="majorBidi" w:cstheme="majorBidi"/>
          <w:sz w:val="24"/>
          <w:szCs w:val="24"/>
          <w:lang w:val="en-US"/>
        </w:rPr>
        <w:t xml:space="preserve"> or use</w:t>
      </w:r>
      <w:r w:rsidR="007C4A16" w:rsidRPr="00D806D9">
        <w:rPr>
          <w:rFonts w:asciiTheme="majorBidi" w:hAnsiTheme="majorBidi" w:cstheme="majorBidi"/>
          <w:sz w:val="24"/>
          <w:szCs w:val="24"/>
          <w:lang w:val="en-US"/>
        </w:rPr>
        <w:t xml:space="preserve"> impl</w:t>
      </w:r>
      <w:r w:rsidR="00E017D3" w:rsidRPr="00D806D9">
        <w:rPr>
          <w:rFonts w:asciiTheme="majorBidi" w:hAnsiTheme="majorBidi" w:cstheme="majorBidi"/>
          <w:sz w:val="24"/>
          <w:szCs w:val="24"/>
          <w:lang w:val="en-US"/>
        </w:rPr>
        <w:t>y</w:t>
      </w:r>
      <w:r w:rsidR="007C4A16" w:rsidRPr="00D806D9">
        <w:rPr>
          <w:rFonts w:asciiTheme="majorBidi" w:hAnsiTheme="majorBidi" w:cstheme="majorBidi"/>
          <w:sz w:val="24"/>
          <w:szCs w:val="24"/>
          <w:lang w:val="en-US"/>
        </w:rPr>
        <w:t xml:space="preserve"> significant costs</w:t>
      </w:r>
      <w:r w:rsidR="00E017D3" w:rsidRPr="00D806D9">
        <w:rPr>
          <w:rFonts w:asciiTheme="majorBidi" w:hAnsiTheme="majorBidi" w:cstheme="majorBidi"/>
          <w:sz w:val="24"/>
          <w:szCs w:val="24"/>
          <w:lang w:val="en-US"/>
        </w:rPr>
        <w:t xml:space="preserve">. Beyond the economic calculations, such wastes </w:t>
      </w:r>
      <w:r w:rsidR="00980135" w:rsidRPr="00D806D9">
        <w:rPr>
          <w:rFonts w:asciiTheme="majorBidi" w:hAnsiTheme="majorBidi" w:cstheme="majorBidi"/>
          <w:sz w:val="24"/>
          <w:szCs w:val="24"/>
          <w:lang w:val="en-US"/>
        </w:rPr>
        <w:t>involve</w:t>
      </w:r>
      <w:r w:rsidR="00E017D3" w:rsidRPr="00D806D9">
        <w:rPr>
          <w:rFonts w:asciiTheme="majorBidi" w:hAnsiTheme="majorBidi" w:cstheme="majorBidi"/>
          <w:sz w:val="24"/>
          <w:szCs w:val="24"/>
          <w:lang w:val="en-US"/>
        </w:rPr>
        <w:t xml:space="preserve"> increased GHGE </w:t>
      </w:r>
      <w:r w:rsidR="007C4A16" w:rsidRPr="00D806D9">
        <w:rPr>
          <w:rFonts w:asciiTheme="majorBidi" w:hAnsiTheme="majorBidi" w:cstheme="majorBidi"/>
          <w:sz w:val="24"/>
          <w:szCs w:val="24"/>
          <w:lang w:val="en-US"/>
        </w:rPr>
        <w:t>compared to alternative technologies</w:t>
      </w:r>
      <w:r w:rsidR="00E017D3" w:rsidRPr="00D806D9">
        <w:rPr>
          <w:rFonts w:asciiTheme="majorBidi" w:hAnsiTheme="majorBidi" w:cstheme="majorBidi"/>
          <w:sz w:val="24"/>
          <w:szCs w:val="24"/>
          <w:lang w:val="en-US"/>
        </w:rPr>
        <w:t>. Further</w:t>
      </w:r>
      <w:r w:rsidR="00E60C28" w:rsidRPr="00D806D9">
        <w:rPr>
          <w:rFonts w:asciiTheme="majorBidi" w:hAnsiTheme="majorBidi" w:cstheme="majorBidi"/>
          <w:sz w:val="24"/>
          <w:szCs w:val="24"/>
          <w:lang w:val="en-US"/>
        </w:rPr>
        <w:t xml:space="preserve">, </w:t>
      </w:r>
      <w:r w:rsidR="00980135" w:rsidRPr="00D806D9">
        <w:rPr>
          <w:rFonts w:asciiTheme="majorBidi" w:hAnsiTheme="majorBidi" w:cstheme="majorBidi"/>
          <w:sz w:val="24"/>
          <w:szCs w:val="24"/>
          <w:lang w:val="en-US"/>
        </w:rPr>
        <w:t>hydrogen allows the extension of activities based on fossil fuels</w:t>
      </w:r>
      <w:r w:rsidR="00F53B5C">
        <w:rPr>
          <w:rFonts w:asciiTheme="majorBidi" w:hAnsiTheme="majorBidi" w:cstheme="majorBidi"/>
          <w:sz w:val="24"/>
          <w:szCs w:val="24"/>
          <w:lang w:val="en-US"/>
        </w:rPr>
        <w:t>,</w:t>
      </w:r>
      <w:r w:rsidR="00980135" w:rsidRPr="00D806D9">
        <w:rPr>
          <w:rFonts w:asciiTheme="majorBidi" w:hAnsiTheme="majorBidi" w:cstheme="majorBidi"/>
          <w:sz w:val="24"/>
          <w:szCs w:val="24"/>
          <w:lang w:val="en-US"/>
        </w:rPr>
        <w:t xml:space="preserve"> </w:t>
      </w:r>
      <w:r w:rsidR="00E60C28" w:rsidRPr="00D806D9">
        <w:rPr>
          <w:rFonts w:asciiTheme="majorBidi" w:hAnsiTheme="majorBidi" w:cstheme="majorBidi"/>
          <w:sz w:val="24"/>
          <w:szCs w:val="24"/>
          <w:lang w:val="en-US"/>
        </w:rPr>
        <w:t>allowing for</w:t>
      </w:r>
      <w:r w:rsidR="007C4A16" w:rsidRPr="00D806D9">
        <w:rPr>
          <w:rFonts w:asciiTheme="majorBidi" w:hAnsiTheme="majorBidi" w:cstheme="majorBidi"/>
          <w:sz w:val="24"/>
          <w:szCs w:val="24"/>
          <w:lang w:val="en-US"/>
        </w:rPr>
        <w:t xml:space="preserve"> the</w:t>
      </w:r>
      <w:r w:rsidR="00980135" w:rsidRPr="00D806D9">
        <w:rPr>
          <w:rFonts w:asciiTheme="majorBidi" w:hAnsiTheme="majorBidi" w:cstheme="majorBidi"/>
          <w:sz w:val="24"/>
          <w:szCs w:val="24"/>
          <w:lang w:val="en-US"/>
        </w:rPr>
        <w:t>ir</w:t>
      </w:r>
      <w:r w:rsidR="007C4A16" w:rsidRPr="00D806D9">
        <w:rPr>
          <w:rFonts w:asciiTheme="majorBidi" w:hAnsiTheme="majorBidi" w:cstheme="majorBidi"/>
          <w:sz w:val="24"/>
          <w:szCs w:val="24"/>
          <w:lang w:val="en-US"/>
        </w:rPr>
        <w:t xml:space="preserve"> extension.</w:t>
      </w:r>
      <w:r w:rsidR="00D22659" w:rsidRPr="00D806D9">
        <w:rPr>
          <w:rFonts w:asciiTheme="majorBidi" w:hAnsiTheme="majorBidi" w:cstheme="majorBidi"/>
          <w:sz w:val="24"/>
          <w:szCs w:val="24"/>
          <w:lang w:val="en-US"/>
        </w:rPr>
        <w:t xml:space="preserve"> </w:t>
      </w:r>
      <w:r w:rsidR="00E60C28" w:rsidRPr="00D806D9">
        <w:rPr>
          <w:rFonts w:asciiTheme="majorBidi" w:hAnsiTheme="majorBidi" w:cstheme="majorBidi"/>
          <w:sz w:val="24"/>
          <w:szCs w:val="24"/>
          <w:lang w:val="en-US"/>
        </w:rPr>
        <w:t>T</w:t>
      </w:r>
      <w:r w:rsidR="007C4A16" w:rsidRPr="00D806D9">
        <w:rPr>
          <w:rFonts w:asciiTheme="majorBidi" w:hAnsiTheme="majorBidi" w:cstheme="majorBidi"/>
          <w:sz w:val="24"/>
          <w:szCs w:val="24"/>
          <w:lang w:val="en-US"/>
        </w:rPr>
        <w:t xml:space="preserve">hese features </w:t>
      </w:r>
      <w:r w:rsidR="0085056E" w:rsidRPr="00D806D9">
        <w:rPr>
          <w:rFonts w:asciiTheme="majorBidi" w:hAnsiTheme="majorBidi" w:cstheme="majorBidi"/>
          <w:sz w:val="24"/>
          <w:szCs w:val="24"/>
          <w:lang w:val="en-US"/>
        </w:rPr>
        <w:t xml:space="preserve">as well as </w:t>
      </w:r>
      <w:r w:rsidR="000E6654">
        <w:rPr>
          <w:rFonts w:asciiTheme="majorBidi" w:hAnsiTheme="majorBidi" w:cstheme="majorBidi"/>
          <w:sz w:val="24"/>
          <w:szCs w:val="24"/>
          <w:lang w:val="en-US"/>
        </w:rPr>
        <w:t xml:space="preserve">the </w:t>
      </w:r>
      <w:r w:rsidR="0085056E" w:rsidRPr="00D806D9">
        <w:rPr>
          <w:rFonts w:asciiTheme="majorBidi" w:hAnsiTheme="majorBidi" w:cstheme="majorBidi"/>
          <w:sz w:val="24"/>
          <w:szCs w:val="24"/>
          <w:lang w:val="en-US"/>
        </w:rPr>
        <w:t xml:space="preserve">energy infrastructure investment timeframe </w:t>
      </w:r>
      <w:r w:rsidR="007C4A16" w:rsidRPr="00D806D9">
        <w:rPr>
          <w:rFonts w:asciiTheme="majorBidi" w:hAnsiTheme="majorBidi" w:cstheme="majorBidi"/>
          <w:sz w:val="24"/>
          <w:szCs w:val="24"/>
          <w:lang w:val="en-US"/>
        </w:rPr>
        <w:t xml:space="preserve">seem </w:t>
      </w:r>
      <w:r w:rsidR="00B17D4A" w:rsidRPr="00D806D9">
        <w:rPr>
          <w:rFonts w:asciiTheme="majorBidi" w:hAnsiTheme="majorBidi" w:cstheme="majorBidi"/>
          <w:sz w:val="24"/>
          <w:szCs w:val="24"/>
          <w:lang w:val="en-US"/>
        </w:rPr>
        <w:t>incompatib</w:t>
      </w:r>
      <w:r w:rsidR="007C4A16" w:rsidRPr="00D806D9">
        <w:rPr>
          <w:rFonts w:asciiTheme="majorBidi" w:hAnsiTheme="majorBidi" w:cstheme="majorBidi"/>
          <w:sz w:val="24"/>
          <w:szCs w:val="24"/>
          <w:lang w:val="en-US"/>
        </w:rPr>
        <w:t>le</w:t>
      </w:r>
      <w:r w:rsidR="00B17D4A" w:rsidRPr="00D806D9">
        <w:rPr>
          <w:rFonts w:asciiTheme="majorBidi" w:hAnsiTheme="majorBidi" w:cstheme="majorBidi"/>
          <w:sz w:val="24"/>
          <w:szCs w:val="24"/>
          <w:lang w:val="en-US"/>
        </w:rPr>
        <w:t xml:space="preserve"> with the </w:t>
      </w:r>
      <w:r w:rsidR="00BA468A" w:rsidRPr="00D806D9">
        <w:rPr>
          <w:rFonts w:asciiTheme="majorBidi" w:hAnsiTheme="majorBidi" w:cstheme="majorBidi"/>
          <w:sz w:val="24"/>
          <w:szCs w:val="24"/>
          <w:lang w:val="en-US"/>
        </w:rPr>
        <w:t xml:space="preserve">urgency of </w:t>
      </w:r>
      <w:r w:rsidR="00B17D4A" w:rsidRPr="00D806D9">
        <w:rPr>
          <w:rFonts w:asciiTheme="majorBidi" w:hAnsiTheme="majorBidi" w:cstheme="majorBidi"/>
          <w:sz w:val="24"/>
          <w:szCs w:val="24"/>
          <w:lang w:val="en-US"/>
        </w:rPr>
        <w:t>climatic</w:t>
      </w:r>
      <w:r w:rsidR="00BA468A" w:rsidRPr="00D806D9">
        <w:rPr>
          <w:rFonts w:asciiTheme="majorBidi" w:hAnsiTheme="majorBidi" w:cstheme="majorBidi"/>
          <w:sz w:val="24"/>
          <w:szCs w:val="24"/>
          <w:lang w:val="en-US"/>
        </w:rPr>
        <w:t xml:space="preserve"> action </w:t>
      </w:r>
      <w:r w:rsidR="00E60C28" w:rsidRPr="00D806D9">
        <w:rPr>
          <w:rFonts w:asciiTheme="majorBidi" w:hAnsiTheme="majorBidi" w:cstheme="majorBidi"/>
          <w:sz w:val="24"/>
          <w:szCs w:val="24"/>
          <w:lang w:val="en-US"/>
        </w:rPr>
        <w:t xml:space="preserve">to meet </w:t>
      </w:r>
      <w:r w:rsidR="00B17D4A" w:rsidRPr="00D806D9">
        <w:rPr>
          <w:rFonts w:asciiTheme="majorBidi" w:hAnsiTheme="majorBidi" w:cstheme="majorBidi"/>
          <w:sz w:val="24"/>
          <w:szCs w:val="24"/>
          <w:lang w:val="en-US"/>
        </w:rPr>
        <w:t>PA</w:t>
      </w:r>
      <w:r w:rsidR="00980135" w:rsidRPr="00D806D9">
        <w:rPr>
          <w:rFonts w:asciiTheme="majorBidi" w:hAnsiTheme="majorBidi" w:cstheme="majorBidi"/>
          <w:sz w:val="24"/>
          <w:szCs w:val="24"/>
          <w:lang w:val="en-US"/>
        </w:rPr>
        <w:t>’s</w:t>
      </w:r>
      <w:r w:rsidR="00E60C28" w:rsidRPr="00D806D9">
        <w:rPr>
          <w:rFonts w:asciiTheme="majorBidi" w:hAnsiTheme="majorBidi" w:cstheme="majorBidi"/>
          <w:sz w:val="24"/>
          <w:szCs w:val="24"/>
          <w:lang w:val="en-US"/>
        </w:rPr>
        <w:t xml:space="preserve"> </w:t>
      </w:r>
      <w:r w:rsidR="00775F2F" w:rsidRPr="00D806D9">
        <w:rPr>
          <w:rFonts w:asciiTheme="majorBidi" w:hAnsiTheme="majorBidi" w:cstheme="majorBidi"/>
          <w:sz w:val="24"/>
          <w:szCs w:val="24"/>
          <w:lang w:val="en-US"/>
        </w:rPr>
        <w:t>objectives</w:t>
      </w:r>
      <w:r w:rsidR="00B17D4A" w:rsidRPr="00D806D9">
        <w:rPr>
          <w:rFonts w:asciiTheme="majorBidi" w:hAnsiTheme="majorBidi" w:cstheme="majorBidi"/>
          <w:sz w:val="24"/>
          <w:szCs w:val="24"/>
          <w:lang w:val="en-US"/>
        </w:rPr>
        <w:t xml:space="preserve"> </w:t>
      </w:r>
      <w:r w:rsidR="00037E4F" w:rsidRPr="00D806D9">
        <w:rPr>
          <w:rFonts w:asciiTheme="majorBidi" w:hAnsiTheme="majorBidi" w:cstheme="majorBidi"/>
          <w:sz w:val="24"/>
          <w:szCs w:val="24"/>
          <w:lang w:val="en-US"/>
        </w:rPr>
        <w:t xml:space="preserve">and the </w:t>
      </w:r>
      <w:r w:rsidR="0057344C" w:rsidRPr="00D806D9">
        <w:rPr>
          <w:rFonts w:asciiTheme="majorBidi" w:hAnsiTheme="majorBidi" w:cstheme="majorBidi"/>
          <w:sz w:val="24"/>
          <w:szCs w:val="24"/>
          <w:lang w:val="en-US"/>
        </w:rPr>
        <w:t>immediate</w:t>
      </w:r>
      <w:r w:rsidR="00E60C28" w:rsidRPr="00D806D9">
        <w:rPr>
          <w:rFonts w:asciiTheme="majorBidi" w:hAnsiTheme="majorBidi" w:cstheme="majorBidi"/>
          <w:sz w:val="24"/>
          <w:szCs w:val="24"/>
          <w:lang w:val="en-US"/>
        </w:rPr>
        <w:t xml:space="preserve"> </w:t>
      </w:r>
      <w:r w:rsidR="00037E4F" w:rsidRPr="00D806D9">
        <w:rPr>
          <w:rFonts w:asciiTheme="majorBidi" w:hAnsiTheme="majorBidi" w:cstheme="majorBidi"/>
          <w:sz w:val="24"/>
          <w:szCs w:val="24"/>
          <w:lang w:val="en-US"/>
        </w:rPr>
        <w:t>GHGE reduction</w:t>
      </w:r>
      <w:r w:rsidR="00E60C28" w:rsidRPr="00D806D9">
        <w:rPr>
          <w:rFonts w:asciiTheme="majorBidi" w:hAnsiTheme="majorBidi" w:cstheme="majorBidi"/>
          <w:sz w:val="24"/>
          <w:szCs w:val="24"/>
          <w:lang w:val="en-US"/>
        </w:rPr>
        <w:t xml:space="preserve"> they imply</w:t>
      </w:r>
      <w:r w:rsidR="00B17D4A" w:rsidRPr="00D806D9">
        <w:rPr>
          <w:rFonts w:asciiTheme="majorBidi" w:hAnsiTheme="majorBidi" w:cstheme="majorBidi"/>
          <w:sz w:val="24"/>
          <w:szCs w:val="24"/>
          <w:lang w:val="en-US"/>
        </w:rPr>
        <w:t xml:space="preserve">. Considering </w:t>
      </w:r>
      <w:r w:rsidR="007C4A16" w:rsidRPr="00D806D9">
        <w:rPr>
          <w:rFonts w:asciiTheme="majorBidi" w:hAnsiTheme="majorBidi" w:cstheme="majorBidi"/>
          <w:sz w:val="24"/>
          <w:szCs w:val="24"/>
          <w:lang w:val="en-US"/>
        </w:rPr>
        <w:t>these elements</w:t>
      </w:r>
      <w:r w:rsidR="00B17D4A" w:rsidRPr="00D806D9">
        <w:rPr>
          <w:rFonts w:asciiTheme="majorBidi" w:hAnsiTheme="majorBidi" w:cstheme="majorBidi"/>
          <w:sz w:val="24"/>
          <w:szCs w:val="24"/>
          <w:lang w:val="en-US"/>
        </w:rPr>
        <w:t xml:space="preserve">, we can now </w:t>
      </w:r>
      <w:r w:rsidR="00037E4F" w:rsidRPr="00D806D9">
        <w:rPr>
          <w:rFonts w:asciiTheme="majorBidi" w:hAnsiTheme="majorBidi" w:cstheme="majorBidi"/>
          <w:sz w:val="24"/>
          <w:szCs w:val="24"/>
          <w:lang w:val="en-US"/>
        </w:rPr>
        <w:t xml:space="preserve">assess </w:t>
      </w:r>
      <w:r w:rsidR="007C4A16" w:rsidRPr="00D806D9">
        <w:rPr>
          <w:rFonts w:asciiTheme="majorBidi" w:hAnsiTheme="majorBidi" w:cstheme="majorBidi"/>
          <w:sz w:val="24"/>
          <w:szCs w:val="24"/>
          <w:lang w:val="en-US"/>
        </w:rPr>
        <w:t>the EU</w:t>
      </w:r>
      <w:r w:rsidR="00417F82" w:rsidRPr="00D806D9">
        <w:rPr>
          <w:rFonts w:asciiTheme="majorBidi" w:hAnsiTheme="majorBidi" w:cstheme="majorBidi"/>
          <w:sz w:val="24"/>
          <w:szCs w:val="24"/>
          <w:lang w:val="en-US"/>
        </w:rPr>
        <w:t>-</w:t>
      </w:r>
      <w:r w:rsidR="007C4A16" w:rsidRPr="00D806D9">
        <w:rPr>
          <w:rFonts w:asciiTheme="majorBidi" w:hAnsiTheme="majorBidi" w:cstheme="majorBidi"/>
          <w:sz w:val="24"/>
          <w:szCs w:val="24"/>
          <w:lang w:val="en-US"/>
        </w:rPr>
        <w:t xml:space="preserve">ETS mechanism and its effects so far to support </w:t>
      </w:r>
      <w:r w:rsidR="00417F82" w:rsidRPr="00D806D9">
        <w:rPr>
          <w:rFonts w:asciiTheme="majorBidi" w:hAnsiTheme="majorBidi" w:cstheme="majorBidi"/>
          <w:sz w:val="24"/>
          <w:szCs w:val="24"/>
          <w:lang w:val="en-US"/>
        </w:rPr>
        <w:t>technological change.</w:t>
      </w:r>
    </w:p>
    <w:p w14:paraId="3F42A950" w14:textId="77777777" w:rsidR="00E83AE2" w:rsidRPr="00D806D9" w:rsidRDefault="00E83AE2" w:rsidP="00D806D9">
      <w:pPr>
        <w:spacing w:after="0" w:line="480" w:lineRule="auto"/>
        <w:rPr>
          <w:rFonts w:asciiTheme="majorBidi" w:hAnsiTheme="majorBidi" w:cstheme="majorBidi"/>
          <w:sz w:val="24"/>
          <w:szCs w:val="24"/>
          <w:lang w:val="en-US"/>
        </w:rPr>
      </w:pPr>
      <w:r w:rsidRPr="00D806D9">
        <w:rPr>
          <w:rFonts w:asciiTheme="majorBidi" w:hAnsiTheme="majorBidi" w:cstheme="majorBidi"/>
          <w:sz w:val="24"/>
          <w:szCs w:val="24"/>
          <w:lang w:val="en-US"/>
        </w:rPr>
        <w:br w:type="page"/>
      </w:r>
    </w:p>
    <w:p w14:paraId="7E7EA554" w14:textId="69CBFA33" w:rsidR="00E83AE2" w:rsidRPr="00D806D9" w:rsidRDefault="00E83AE2" w:rsidP="00D806D9">
      <w:pPr>
        <w:spacing w:after="0" w:line="480" w:lineRule="auto"/>
        <w:ind w:left="1410" w:hanging="1410"/>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 xml:space="preserve">Section </w:t>
      </w:r>
      <w:r w:rsidR="002443F7" w:rsidRPr="00D806D9">
        <w:rPr>
          <w:rFonts w:asciiTheme="majorBidi" w:hAnsiTheme="majorBidi" w:cstheme="majorBidi"/>
          <w:b/>
          <w:bCs/>
          <w:sz w:val="24"/>
          <w:szCs w:val="24"/>
          <w:lang w:val="en-US"/>
        </w:rPr>
        <w:t>3</w:t>
      </w:r>
      <w:r w:rsidR="002443F7" w:rsidRPr="00D806D9">
        <w:rPr>
          <w:rFonts w:asciiTheme="majorBidi" w:hAnsiTheme="majorBidi" w:cstheme="majorBidi"/>
          <w:b/>
          <w:bCs/>
          <w:sz w:val="24"/>
          <w:szCs w:val="24"/>
          <w:lang w:val="en-US"/>
        </w:rPr>
        <w:tab/>
      </w:r>
      <w:r w:rsidRPr="00D806D9">
        <w:rPr>
          <w:rFonts w:asciiTheme="majorBidi" w:hAnsiTheme="majorBidi" w:cstheme="majorBidi"/>
          <w:b/>
          <w:bCs/>
          <w:sz w:val="24"/>
          <w:szCs w:val="24"/>
          <w:lang w:val="en-US"/>
        </w:rPr>
        <w:t>EU</w:t>
      </w:r>
      <w:r w:rsidR="004D6EB8" w:rsidRPr="00D806D9">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ETS</w:t>
      </w:r>
      <w:r w:rsidR="00F7623B" w:rsidRPr="00D806D9">
        <w:rPr>
          <w:rFonts w:asciiTheme="majorBidi" w:hAnsiTheme="majorBidi" w:cstheme="majorBidi"/>
          <w:b/>
          <w:bCs/>
          <w:sz w:val="24"/>
          <w:szCs w:val="24"/>
          <w:lang w:val="en-US"/>
        </w:rPr>
        <w:t xml:space="preserve">: a regulation under </w:t>
      </w:r>
      <w:r w:rsidR="00FD6132">
        <w:rPr>
          <w:rFonts w:asciiTheme="majorBidi" w:hAnsiTheme="majorBidi" w:cstheme="majorBidi"/>
          <w:b/>
          <w:bCs/>
          <w:sz w:val="24"/>
          <w:szCs w:val="24"/>
          <w:lang w:val="en-US"/>
        </w:rPr>
        <w:t xml:space="preserve">the </w:t>
      </w:r>
      <w:r w:rsidR="00F7623B" w:rsidRPr="00D806D9">
        <w:rPr>
          <w:rFonts w:asciiTheme="majorBidi" w:hAnsiTheme="majorBidi" w:cstheme="majorBidi"/>
          <w:b/>
          <w:bCs/>
          <w:sz w:val="24"/>
          <w:szCs w:val="24"/>
          <w:lang w:val="en-US"/>
        </w:rPr>
        <w:t xml:space="preserve">influence </w:t>
      </w:r>
      <w:r w:rsidR="0084281B">
        <w:rPr>
          <w:rFonts w:asciiTheme="majorBidi" w:hAnsiTheme="majorBidi" w:cstheme="majorBidi"/>
          <w:b/>
          <w:bCs/>
          <w:sz w:val="24"/>
          <w:szCs w:val="24"/>
          <w:lang w:val="en-US"/>
        </w:rPr>
        <w:t>that</w:t>
      </w:r>
      <w:r w:rsidR="00F7623B" w:rsidRPr="00D806D9">
        <w:rPr>
          <w:rFonts w:asciiTheme="majorBidi" w:hAnsiTheme="majorBidi" w:cstheme="majorBidi"/>
          <w:b/>
          <w:bCs/>
          <w:sz w:val="24"/>
          <w:szCs w:val="24"/>
          <w:lang w:val="en-US"/>
        </w:rPr>
        <w:t xml:space="preserve"> </w:t>
      </w:r>
      <w:r w:rsidR="0084281B">
        <w:rPr>
          <w:rFonts w:asciiTheme="majorBidi" w:hAnsiTheme="majorBidi" w:cstheme="majorBidi"/>
          <w:b/>
          <w:bCs/>
          <w:sz w:val="24"/>
          <w:szCs w:val="24"/>
          <w:lang w:val="en-US"/>
        </w:rPr>
        <w:t>began</w:t>
      </w:r>
      <w:r w:rsidR="00F7623B" w:rsidRPr="00D806D9">
        <w:rPr>
          <w:rFonts w:asciiTheme="majorBidi" w:hAnsiTheme="majorBidi" w:cstheme="majorBidi"/>
          <w:b/>
          <w:bCs/>
          <w:sz w:val="24"/>
          <w:szCs w:val="24"/>
          <w:lang w:val="en-US"/>
        </w:rPr>
        <w:t xml:space="preserve"> to operate properly recently</w:t>
      </w:r>
    </w:p>
    <w:p w14:paraId="5B997429" w14:textId="77777777" w:rsidR="00E83AE2" w:rsidRPr="00D806D9" w:rsidRDefault="00E83AE2" w:rsidP="00D806D9">
      <w:pPr>
        <w:spacing w:after="0" w:line="480" w:lineRule="auto"/>
        <w:rPr>
          <w:rFonts w:asciiTheme="majorBidi" w:hAnsiTheme="majorBidi" w:cstheme="majorBidi"/>
          <w:b/>
          <w:bCs/>
          <w:sz w:val="24"/>
          <w:szCs w:val="24"/>
          <w:lang w:val="en-US"/>
        </w:rPr>
      </w:pPr>
    </w:p>
    <w:p w14:paraId="290A316C" w14:textId="4294206B"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Implemented by Directive 2003/87/EC</w:t>
      </w:r>
      <w:r w:rsidR="002F348D" w:rsidRPr="00D806D9">
        <w:rPr>
          <w:rFonts w:asciiTheme="majorBidi" w:hAnsiTheme="majorBidi" w:cstheme="majorBidi"/>
          <w:sz w:val="24"/>
          <w:szCs w:val="24"/>
          <w:lang w:val="en-US"/>
        </w:rPr>
        <w:t xml:space="preserve"> (EPC, 2003)</w:t>
      </w:r>
      <w:r w:rsidRPr="00D806D9">
        <w:rPr>
          <w:rFonts w:asciiTheme="majorBidi" w:hAnsiTheme="majorBidi" w:cstheme="majorBidi"/>
          <w:sz w:val="24"/>
          <w:szCs w:val="24"/>
          <w:lang w:val="en-US"/>
        </w:rPr>
        <w:t>, the EU-ETS set a cap on GHGE by issuing EUA permitting the emission of one ton of CO</w:t>
      </w:r>
      <w:r w:rsidRPr="00D806D9">
        <w:rPr>
          <w:rFonts w:asciiTheme="majorBidi" w:hAnsiTheme="majorBidi" w:cstheme="majorBidi"/>
          <w:sz w:val="24"/>
          <w:szCs w:val="24"/>
          <w:vertAlign w:val="subscript"/>
          <w:lang w:val="en-US"/>
        </w:rPr>
        <w:t>2</w:t>
      </w:r>
      <w:r w:rsidRPr="00D806D9">
        <w:rPr>
          <w:rFonts w:asciiTheme="majorBidi" w:hAnsiTheme="majorBidi" w:cstheme="majorBidi"/>
          <w:sz w:val="24"/>
          <w:szCs w:val="24"/>
          <w:lang w:val="en-US"/>
        </w:rPr>
        <w:t xml:space="preserve"> covering only a few sectors. The total amount of EUA </w:t>
      </w:r>
      <w:r w:rsidR="003236D4" w:rsidRPr="00D806D9">
        <w:rPr>
          <w:rFonts w:asciiTheme="majorBidi" w:hAnsiTheme="majorBidi" w:cstheme="majorBidi"/>
          <w:sz w:val="24"/>
          <w:szCs w:val="24"/>
          <w:lang w:val="en-US"/>
        </w:rPr>
        <w:t>was</w:t>
      </w:r>
      <w:r w:rsidRPr="00D806D9">
        <w:rPr>
          <w:rFonts w:asciiTheme="majorBidi" w:hAnsiTheme="majorBidi" w:cstheme="majorBidi"/>
          <w:sz w:val="24"/>
          <w:szCs w:val="24"/>
          <w:lang w:val="en-US"/>
        </w:rPr>
        <w:t xml:space="preserve"> planned to be gradually reduced. Emitters must</w:t>
      </w:r>
      <w:r w:rsidR="0084281B">
        <w:rPr>
          <w:rFonts w:asciiTheme="majorBidi" w:hAnsiTheme="majorBidi" w:cstheme="majorBidi"/>
          <w:sz w:val="24"/>
          <w:szCs w:val="24"/>
          <w:lang w:val="en-US"/>
        </w:rPr>
        <w:t xml:space="preserve"> </w:t>
      </w:r>
      <w:r w:rsidR="0084281B" w:rsidRPr="00D806D9">
        <w:rPr>
          <w:rFonts w:asciiTheme="majorBidi" w:hAnsiTheme="majorBidi" w:cstheme="majorBidi"/>
          <w:sz w:val="24"/>
          <w:szCs w:val="24"/>
          <w:lang w:val="en-US"/>
        </w:rPr>
        <w:t>either</w:t>
      </w:r>
      <w:r w:rsidRPr="00D806D9">
        <w:rPr>
          <w:rFonts w:asciiTheme="majorBidi" w:hAnsiTheme="majorBidi" w:cstheme="majorBidi"/>
          <w:sz w:val="24"/>
          <w:szCs w:val="24"/>
          <w:lang w:val="en-US"/>
        </w:rPr>
        <w:t xml:space="preserve"> reduce their emissions or buy allowances from other firms. Emission reduction can take the form of investment in </w:t>
      </w:r>
      <w:r w:rsidR="00397B73">
        <w:rPr>
          <w:rFonts w:asciiTheme="majorBidi" w:hAnsiTheme="majorBidi" w:cstheme="majorBidi"/>
          <w:sz w:val="24"/>
          <w:szCs w:val="24"/>
          <w:lang w:val="en-US"/>
        </w:rPr>
        <w:t>low-carbon</w:t>
      </w:r>
      <w:r w:rsidRPr="00D806D9">
        <w:rPr>
          <w:rFonts w:asciiTheme="majorBidi" w:hAnsiTheme="majorBidi" w:cstheme="majorBidi"/>
          <w:sz w:val="24"/>
          <w:szCs w:val="24"/>
          <w:lang w:val="en-US"/>
        </w:rPr>
        <w:t xml:space="preserve"> solutions, efficiency improvements</w:t>
      </w:r>
      <w:r w:rsidR="000E6654">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or production </w:t>
      </w:r>
      <w:r w:rsidR="000E6654">
        <w:rPr>
          <w:rFonts w:asciiTheme="majorBidi" w:hAnsiTheme="majorBidi" w:cstheme="majorBidi"/>
          <w:sz w:val="24"/>
          <w:szCs w:val="24"/>
          <w:lang w:val="en-US"/>
        </w:rPr>
        <w:t>decreases</w:t>
      </w:r>
      <w:r w:rsidRPr="00D806D9">
        <w:rPr>
          <w:rFonts w:asciiTheme="majorBidi" w:hAnsiTheme="majorBidi" w:cstheme="majorBidi"/>
          <w:sz w:val="24"/>
          <w:szCs w:val="24"/>
          <w:lang w:val="en-US"/>
        </w:rPr>
        <w:t xml:space="preserve">. The EU-ETS </w:t>
      </w:r>
      <w:r w:rsidR="0084281B">
        <w:rPr>
          <w:rFonts w:asciiTheme="majorBidi" w:hAnsiTheme="majorBidi" w:cstheme="majorBidi"/>
          <w:sz w:val="24"/>
          <w:szCs w:val="24"/>
          <w:lang w:val="en-US"/>
        </w:rPr>
        <w:t>began</w:t>
      </w:r>
      <w:r w:rsidRPr="00D806D9">
        <w:rPr>
          <w:rFonts w:asciiTheme="majorBidi" w:hAnsiTheme="majorBidi" w:cstheme="majorBidi"/>
          <w:sz w:val="24"/>
          <w:szCs w:val="24"/>
          <w:lang w:val="en-US"/>
        </w:rPr>
        <w:t xml:space="preserve"> to operate in 2005 and was organized in years-long phases to induce predictability. It is currently the “largest carbon market </w:t>
      </w:r>
      <w:r w:rsidR="00422AB2" w:rsidRPr="00D806D9">
        <w:rPr>
          <w:rFonts w:asciiTheme="majorBidi" w:hAnsiTheme="majorBidi" w:cstheme="majorBidi"/>
          <w:sz w:val="24"/>
          <w:szCs w:val="24"/>
          <w:lang w:val="en-US"/>
        </w:rPr>
        <w:t xml:space="preserve">in the world </w:t>
      </w:r>
      <w:r w:rsidRPr="00D806D9">
        <w:rPr>
          <w:rFonts w:asciiTheme="majorBidi" w:hAnsiTheme="majorBidi" w:cstheme="majorBidi"/>
          <w:sz w:val="24"/>
          <w:szCs w:val="24"/>
          <w:lang w:val="en-US"/>
        </w:rPr>
        <w:t>and first transboundary cap-and-trade system” (</w:t>
      </w:r>
      <w:proofErr w:type="spellStart"/>
      <w:r w:rsidRPr="00D806D9">
        <w:rPr>
          <w:rFonts w:asciiTheme="majorBidi" w:hAnsiTheme="majorBidi" w:cstheme="majorBidi"/>
          <w:sz w:val="24"/>
          <w:szCs w:val="24"/>
          <w:lang w:val="en-US"/>
        </w:rPr>
        <w:t>Borghesi</w:t>
      </w:r>
      <w:proofErr w:type="spellEnd"/>
      <w:r w:rsidRPr="00D806D9">
        <w:rPr>
          <w:rFonts w:asciiTheme="majorBidi" w:hAnsiTheme="majorBidi" w:cstheme="majorBidi"/>
          <w:sz w:val="24"/>
          <w:szCs w:val="24"/>
          <w:lang w:val="en-US"/>
        </w:rPr>
        <w:t xml:space="preserve"> &amp; </w:t>
      </w:r>
      <w:proofErr w:type="spellStart"/>
      <w:r w:rsidRPr="00D806D9">
        <w:rPr>
          <w:rFonts w:asciiTheme="majorBidi" w:hAnsiTheme="majorBidi" w:cstheme="majorBidi"/>
          <w:sz w:val="24"/>
          <w:szCs w:val="24"/>
          <w:lang w:val="en-US"/>
        </w:rPr>
        <w:t>Montini</w:t>
      </w:r>
      <w:proofErr w:type="spellEnd"/>
      <w:r w:rsidRPr="00D806D9">
        <w:rPr>
          <w:rFonts w:asciiTheme="majorBidi" w:hAnsiTheme="majorBidi" w:cstheme="majorBidi"/>
          <w:sz w:val="24"/>
          <w:szCs w:val="24"/>
          <w:lang w:val="en-US"/>
        </w:rPr>
        <w:t>, 2016</w:t>
      </w:r>
      <w:r w:rsidR="00422AB2" w:rsidRPr="00D806D9">
        <w:rPr>
          <w:rFonts w:asciiTheme="majorBidi" w:hAnsiTheme="majorBidi" w:cstheme="majorBidi"/>
          <w:sz w:val="24"/>
          <w:szCs w:val="24"/>
          <w:lang w:val="en-US"/>
        </w:rPr>
        <w:t>, p.3</w:t>
      </w:r>
      <w:r w:rsidRPr="00D806D9">
        <w:rPr>
          <w:rFonts w:asciiTheme="majorBidi" w:hAnsiTheme="majorBidi" w:cstheme="majorBidi"/>
          <w:sz w:val="24"/>
          <w:szCs w:val="24"/>
          <w:lang w:val="en-US"/>
        </w:rPr>
        <w:t>) covering over 14000 “installations” (including within European Economic Area flights) representing about 36% of the EU’s emissions (EEA, 2022). As Faure and Partain (2019) state, market-based instruments can be affected by “design issues that can reduce their effectiveness“ (p.201)</w:t>
      </w:r>
      <w:r w:rsidR="003236D4" w:rsidRPr="00D806D9">
        <w:rPr>
          <w:rFonts w:asciiTheme="majorBidi" w:hAnsiTheme="majorBidi" w:cstheme="majorBidi"/>
          <w:sz w:val="24"/>
          <w:szCs w:val="24"/>
          <w:lang w:val="en-US"/>
        </w:rPr>
        <w:t xml:space="preserve"> and are </w:t>
      </w:r>
      <w:r w:rsidRPr="00D806D9">
        <w:rPr>
          <w:rFonts w:asciiTheme="majorBidi" w:hAnsiTheme="majorBidi" w:cstheme="majorBidi"/>
          <w:sz w:val="24"/>
          <w:szCs w:val="24"/>
          <w:lang w:val="en-US"/>
        </w:rPr>
        <w:t xml:space="preserve">“susceptible to lobbying that also affects instrument choice and design.” (Ibid.) This section will explore successively how both issues altered the EU-ETS and how this is relevant </w:t>
      </w:r>
      <w:r w:rsidR="0084281B">
        <w:rPr>
          <w:rFonts w:asciiTheme="majorBidi" w:hAnsiTheme="majorBidi" w:cstheme="majorBidi"/>
          <w:sz w:val="24"/>
          <w:szCs w:val="24"/>
          <w:lang w:val="en-US"/>
        </w:rPr>
        <w:t>to</w:t>
      </w:r>
      <w:r w:rsidRPr="00D806D9">
        <w:rPr>
          <w:rFonts w:asciiTheme="majorBidi" w:hAnsiTheme="majorBidi" w:cstheme="majorBidi"/>
          <w:sz w:val="24"/>
          <w:szCs w:val="24"/>
          <w:lang w:val="en-US"/>
        </w:rPr>
        <w:t xml:space="preserve"> its environmental efficiency through EUA price formation, the latter being a central element of CCfD.</w:t>
      </w:r>
    </w:p>
    <w:p w14:paraId="0716BEA0" w14:textId="77777777" w:rsidR="00E83AE2" w:rsidRPr="00D806D9" w:rsidRDefault="00E83AE2" w:rsidP="00D806D9">
      <w:pPr>
        <w:spacing w:after="0" w:line="480" w:lineRule="auto"/>
        <w:rPr>
          <w:rFonts w:asciiTheme="majorBidi" w:hAnsiTheme="majorBidi" w:cstheme="majorBidi"/>
          <w:b/>
          <w:bCs/>
          <w:sz w:val="24"/>
          <w:szCs w:val="24"/>
          <w:lang w:val="en-US"/>
        </w:rPr>
      </w:pPr>
    </w:p>
    <w:p w14:paraId="0E9BB10E" w14:textId="483A3FC6" w:rsidR="00E83AE2" w:rsidRPr="00D806D9" w:rsidRDefault="00E83AE2" w:rsidP="00D806D9">
      <w:pPr>
        <w:autoSpaceDE w:val="0"/>
        <w:autoSpaceDN w:val="0"/>
        <w:adjustRightInd w:val="0"/>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t>3.1</w:t>
      </w:r>
      <w:r w:rsidR="00C30A3B" w:rsidRPr="00D806D9">
        <w:rPr>
          <w:rFonts w:asciiTheme="majorBidi" w:eastAsia="Times New Roman" w:hAnsiTheme="majorBidi" w:cstheme="majorBidi"/>
          <w:b/>
          <w:bCs/>
          <w:color w:val="000000"/>
          <w:sz w:val="24"/>
          <w:szCs w:val="24"/>
          <w:lang w:val="en-US" w:eastAsia="fr-FR" w:bidi="he-IL"/>
        </w:rPr>
        <w:t>.</w:t>
      </w:r>
      <w:r w:rsidRPr="00D806D9">
        <w:rPr>
          <w:rFonts w:asciiTheme="majorBidi" w:eastAsia="Times New Roman" w:hAnsiTheme="majorBidi" w:cstheme="majorBidi"/>
          <w:b/>
          <w:bCs/>
          <w:color w:val="000000"/>
          <w:sz w:val="24"/>
          <w:szCs w:val="24"/>
          <w:lang w:val="en-US" w:eastAsia="fr-FR" w:bidi="he-IL"/>
        </w:rPr>
        <w:tab/>
        <w:t xml:space="preserve">EU-ETS </w:t>
      </w:r>
      <w:r w:rsidR="00696831" w:rsidRPr="00D806D9">
        <w:rPr>
          <w:rFonts w:asciiTheme="majorBidi" w:eastAsia="Times New Roman" w:hAnsiTheme="majorBidi" w:cstheme="majorBidi"/>
          <w:b/>
          <w:bCs/>
          <w:color w:val="000000"/>
          <w:sz w:val="24"/>
          <w:szCs w:val="24"/>
          <w:lang w:val="en-US" w:eastAsia="fr-FR" w:bidi="he-IL"/>
        </w:rPr>
        <w:t>d</w:t>
      </w:r>
      <w:r w:rsidRPr="00D806D9">
        <w:rPr>
          <w:rFonts w:asciiTheme="majorBidi" w:eastAsia="Times New Roman" w:hAnsiTheme="majorBidi" w:cstheme="majorBidi"/>
          <w:b/>
          <w:bCs/>
          <w:color w:val="000000"/>
          <w:sz w:val="24"/>
          <w:szCs w:val="24"/>
          <w:lang w:val="en-US" w:eastAsia="fr-FR" w:bidi="he-IL"/>
        </w:rPr>
        <w:t xml:space="preserve">esign </w:t>
      </w:r>
      <w:r w:rsidR="00696831" w:rsidRPr="00D806D9">
        <w:rPr>
          <w:rFonts w:asciiTheme="majorBidi" w:eastAsia="Times New Roman" w:hAnsiTheme="majorBidi" w:cstheme="majorBidi"/>
          <w:b/>
          <w:bCs/>
          <w:color w:val="000000"/>
          <w:sz w:val="24"/>
          <w:szCs w:val="24"/>
          <w:lang w:val="en-US" w:eastAsia="fr-FR" w:bidi="he-IL"/>
        </w:rPr>
        <w:t>d</w:t>
      </w:r>
      <w:r w:rsidRPr="00D806D9">
        <w:rPr>
          <w:rFonts w:asciiTheme="majorBidi" w:eastAsia="Times New Roman" w:hAnsiTheme="majorBidi" w:cstheme="majorBidi"/>
          <w:b/>
          <w:bCs/>
          <w:color w:val="000000"/>
          <w:sz w:val="24"/>
          <w:szCs w:val="24"/>
          <w:lang w:val="en-US" w:eastAsia="fr-FR" w:bidi="he-IL"/>
        </w:rPr>
        <w:t>eficiencies</w:t>
      </w:r>
    </w:p>
    <w:p w14:paraId="05E43105" w14:textId="77777777" w:rsidR="00E83AE2" w:rsidRPr="00D806D9" w:rsidRDefault="00E83AE2" w:rsidP="00D806D9">
      <w:pPr>
        <w:spacing w:after="0" w:line="480" w:lineRule="auto"/>
        <w:rPr>
          <w:rFonts w:asciiTheme="majorBidi" w:hAnsiTheme="majorBidi" w:cstheme="majorBidi"/>
          <w:sz w:val="24"/>
          <w:szCs w:val="24"/>
          <w:lang w:val="en-US"/>
        </w:rPr>
      </w:pPr>
    </w:p>
    <w:p w14:paraId="1E393282" w14:textId="628B959B" w:rsidR="00E83AE2" w:rsidRPr="00D806D9" w:rsidRDefault="00E83AE2" w:rsidP="00D806D9">
      <w:pPr>
        <w:spacing w:after="0" w:line="480" w:lineRule="auto"/>
        <w:rPr>
          <w:rFonts w:asciiTheme="majorBidi" w:hAnsiTheme="majorBidi" w:cstheme="majorBidi"/>
          <w:sz w:val="24"/>
          <w:szCs w:val="24"/>
          <w:lang w:val="en-US"/>
        </w:rPr>
      </w:pPr>
      <w:r w:rsidRPr="00D806D9">
        <w:rPr>
          <w:rFonts w:asciiTheme="majorBidi" w:hAnsiTheme="majorBidi" w:cstheme="majorBidi"/>
          <w:sz w:val="24"/>
          <w:szCs w:val="24"/>
          <w:lang w:val="en-US"/>
        </w:rPr>
        <w:tab/>
        <w:t xml:space="preserve">This subsection will describe </w:t>
      </w:r>
      <w:r w:rsidR="000E6654">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scope definition and governance flaws that have affected the proper functioning of the EU-ETS.</w:t>
      </w:r>
    </w:p>
    <w:p w14:paraId="135366B8" w14:textId="7DAD755A" w:rsidR="00E83AE2" w:rsidRPr="00D806D9" w:rsidRDefault="00E83AE2" w:rsidP="00D806D9">
      <w:pPr>
        <w:spacing w:after="0" w:line="480" w:lineRule="auto"/>
        <w:rPr>
          <w:rFonts w:asciiTheme="majorBidi" w:hAnsiTheme="majorBidi" w:cstheme="majorBidi"/>
          <w:sz w:val="24"/>
          <w:szCs w:val="24"/>
          <w:lang w:val="en-US"/>
        </w:rPr>
      </w:pPr>
    </w:p>
    <w:p w14:paraId="027C0984" w14:textId="77777777" w:rsidR="00696831" w:rsidRPr="00D806D9" w:rsidRDefault="00696831" w:rsidP="00D806D9">
      <w:pPr>
        <w:spacing w:after="0" w:line="480" w:lineRule="auto"/>
        <w:rPr>
          <w:rFonts w:asciiTheme="majorBidi" w:hAnsiTheme="majorBidi" w:cstheme="majorBidi"/>
          <w:sz w:val="24"/>
          <w:szCs w:val="24"/>
          <w:lang w:val="en-US"/>
        </w:rPr>
      </w:pPr>
    </w:p>
    <w:p w14:paraId="01984AE2" w14:textId="30CED45F" w:rsidR="00E83AE2" w:rsidRPr="00D806D9" w:rsidRDefault="00E83AE2" w:rsidP="00D806D9">
      <w:pPr>
        <w:spacing w:after="0" w:line="480" w:lineRule="auto"/>
        <w:ind w:firstLine="708"/>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3.1.1</w:t>
      </w:r>
      <w:r w:rsidR="00C30A3B" w:rsidRPr="00D806D9">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ab/>
        <w:t>A</w:t>
      </w:r>
      <w:r w:rsidR="00C30A3B" w:rsidRPr="00D806D9">
        <w:rPr>
          <w:rFonts w:asciiTheme="majorBidi" w:hAnsiTheme="majorBidi" w:cstheme="majorBidi"/>
          <w:b/>
          <w:bCs/>
          <w:sz w:val="24"/>
          <w:szCs w:val="24"/>
          <w:lang w:val="en-US"/>
        </w:rPr>
        <w:t>n</w:t>
      </w:r>
      <w:r w:rsidRPr="00D806D9">
        <w:rPr>
          <w:rFonts w:asciiTheme="majorBidi" w:hAnsiTheme="majorBidi" w:cstheme="majorBidi"/>
          <w:b/>
          <w:bCs/>
          <w:sz w:val="24"/>
          <w:szCs w:val="24"/>
          <w:lang w:val="en-US"/>
        </w:rPr>
        <w:t xml:space="preserve"> </w:t>
      </w:r>
      <w:r w:rsidR="001C2413" w:rsidRPr="00D806D9">
        <w:rPr>
          <w:rFonts w:asciiTheme="majorBidi" w:hAnsiTheme="majorBidi" w:cstheme="majorBidi"/>
          <w:b/>
          <w:bCs/>
          <w:sz w:val="24"/>
          <w:szCs w:val="24"/>
          <w:lang w:val="en-US"/>
        </w:rPr>
        <w:t>i</w:t>
      </w:r>
      <w:r w:rsidRPr="00D806D9">
        <w:rPr>
          <w:rFonts w:asciiTheme="majorBidi" w:hAnsiTheme="majorBidi" w:cstheme="majorBidi"/>
          <w:b/>
          <w:bCs/>
          <w:sz w:val="24"/>
          <w:szCs w:val="24"/>
          <w:lang w:val="en-US"/>
        </w:rPr>
        <w:t xml:space="preserve">nitial </w:t>
      </w:r>
      <w:r w:rsidR="001C2413" w:rsidRPr="00D806D9">
        <w:rPr>
          <w:rFonts w:asciiTheme="majorBidi" w:hAnsiTheme="majorBidi" w:cstheme="majorBidi"/>
          <w:b/>
          <w:bCs/>
          <w:sz w:val="24"/>
          <w:szCs w:val="24"/>
          <w:lang w:val="en-US"/>
        </w:rPr>
        <w:t>s</w:t>
      </w:r>
      <w:r w:rsidRPr="00D806D9">
        <w:rPr>
          <w:rFonts w:asciiTheme="majorBidi" w:hAnsiTheme="majorBidi" w:cstheme="majorBidi"/>
          <w:b/>
          <w:bCs/>
          <w:sz w:val="24"/>
          <w:szCs w:val="24"/>
          <w:lang w:val="en-US"/>
        </w:rPr>
        <w:t xml:space="preserve">cope </w:t>
      </w:r>
      <w:r w:rsidR="001C2413" w:rsidRPr="00D806D9">
        <w:rPr>
          <w:rFonts w:asciiTheme="majorBidi" w:hAnsiTheme="majorBidi" w:cstheme="majorBidi"/>
          <w:b/>
          <w:bCs/>
          <w:sz w:val="24"/>
          <w:szCs w:val="24"/>
          <w:lang w:val="en-US"/>
        </w:rPr>
        <w:t>d</w:t>
      </w:r>
      <w:r w:rsidRPr="00D806D9">
        <w:rPr>
          <w:rFonts w:asciiTheme="majorBidi" w:hAnsiTheme="majorBidi" w:cstheme="majorBidi"/>
          <w:b/>
          <w:bCs/>
          <w:sz w:val="24"/>
          <w:szCs w:val="24"/>
          <w:lang w:val="en-US"/>
        </w:rPr>
        <w:t xml:space="preserve">efinition under </w:t>
      </w:r>
      <w:r w:rsidR="000E6654">
        <w:rPr>
          <w:rFonts w:asciiTheme="majorBidi" w:hAnsiTheme="majorBidi" w:cstheme="majorBidi"/>
          <w:b/>
          <w:bCs/>
          <w:sz w:val="24"/>
          <w:szCs w:val="24"/>
          <w:lang w:val="en-US"/>
        </w:rPr>
        <w:t xml:space="preserve">the </w:t>
      </w:r>
      <w:r w:rsidR="001C2413" w:rsidRPr="00D806D9">
        <w:rPr>
          <w:rFonts w:asciiTheme="majorBidi" w:hAnsiTheme="majorBidi" w:cstheme="majorBidi"/>
          <w:b/>
          <w:bCs/>
          <w:sz w:val="24"/>
          <w:szCs w:val="24"/>
          <w:lang w:val="en-US"/>
        </w:rPr>
        <w:t>i</w:t>
      </w:r>
      <w:r w:rsidRPr="00D806D9">
        <w:rPr>
          <w:rFonts w:asciiTheme="majorBidi" w:hAnsiTheme="majorBidi" w:cstheme="majorBidi"/>
          <w:b/>
          <w:bCs/>
          <w:sz w:val="24"/>
          <w:szCs w:val="24"/>
          <w:lang w:val="en-US"/>
        </w:rPr>
        <w:t>nfluence</w:t>
      </w:r>
    </w:p>
    <w:p w14:paraId="4A7D6FC1" w14:textId="77777777" w:rsidR="00E83AE2" w:rsidRPr="00D806D9" w:rsidRDefault="00E83AE2" w:rsidP="00D806D9">
      <w:pPr>
        <w:spacing w:after="0" w:line="480" w:lineRule="auto"/>
        <w:rPr>
          <w:rFonts w:asciiTheme="majorBidi" w:hAnsiTheme="majorBidi" w:cstheme="majorBidi"/>
          <w:b/>
          <w:bCs/>
          <w:sz w:val="24"/>
          <w:szCs w:val="24"/>
          <w:lang w:val="en-US"/>
        </w:rPr>
      </w:pPr>
    </w:p>
    <w:p w14:paraId="180D831F" w14:textId="585A48A1"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For different reasons, some industries were excluded from the regulation’s scope or were granted free allowances resulting from conflicting and intertwined determinations at several levels. First, </w:t>
      </w:r>
      <w:r w:rsidRPr="00D806D9">
        <w:rPr>
          <w:rFonts w:asciiTheme="majorBidi" w:hAnsiTheme="majorBidi" w:cstheme="majorBidi"/>
          <w:i/>
          <w:iCs/>
          <w:sz w:val="24"/>
          <w:szCs w:val="24"/>
          <w:lang w:val="en-US"/>
        </w:rPr>
        <w:t>de minimis</w:t>
      </w:r>
      <w:r w:rsidRPr="00D806D9">
        <w:rPr>
          <w:rFonts w:asciiTheme="majorBidi" w:hAnsiTheme="majorBidi" w:cstheme="majorBidi"/>
          <w:sz w:val="24"/>
          <w:szCs w:val="24"/>
          <w:lang w:val="en-US"/>
        </w:rPr>
        <w:t xml:space="preserve"> rules exist, small emitters arguably </w:t>
      </w:r>
      <w:r w:rsidR="000E6654">
        <w:rPr>
          <w:rFonts w:asciiTheme="majorBidi" w:hAnsiTheme="majorBidi" w:cstheme="majorBidi"/>
          <w:sz w:val="24"/>
          <w:szCs w:val="24"/>
          <w:lang w:val="en-US"/>
        </w:rPr>
        <w:t xml:space="preserve">do </w:t>
      </w:r>
      <w:r w:rsidRPr="00D806D9">
        <w:rPr>
          <w:rFonts w:asciiTheme="majorBidi" w:hAnsiTheme="majorBidi" w:cstheme="majorBidi"/>
          <w:sz w:val="24"/>
          <w:szCs w:val="24"/>
          <w:lang w:val="en-US"/>
        </w:rPr>
        <w:t>not hav</w:t>
      </w:r>
      <w:r w:rsidR="000E6654">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 the same capacity </w:t>
      </w:r>
      <w:r w:rsidR="000E6654">
        <w:rPr>
          <w:rFonts w:asciiTheme="majorBidi" w:hAnsiTheme="majorBidi" w:cstheme="majorBidi"/>
          <w:sz w:val="24"/>
          <w:szCs w:val="24"/>
          <w:lang w:val="en-US"/>
        </w:rPr>
        <w:t>as</w:t>
      </w:r>
      <w:r w:rsidRPr="00D806D9">
        <w:rPr>
          <w:rFonts w:asciiTheme="majorBidi" w:hAnsiTheme="majorBidi" w:cstheme="majorBidi"/>
          <w:sz w:val="24"/>
          <w:szCs w:val="24"/>
          <w:lang w:val="en-US"/>
        </w:rPr>
        <w:t xml:space="preserve"> important ones to deal with the transaction costs the EU-ETS implies. </w:t>
      </w:r>
      <w:r w:rsidR="00515E43" w:rsidRPr="00D806D9">
        <w:rPr>
          <w:rFonts w:asciiTheme="majorBidi" w:hAnsiTheme="majorBidi" w:cstheme="majorBidi"/>
          <w:sz w:val="24"/>
          <w:szCs w:val="24"/>
          <w:lang w:val="en-US"/>
        </w:rPr>
        <w:t>This exclusion has been made o</w:t>
      </w:r>
      <w:r w:rsidRPr="00D806D9">
        <w:rPr>
          <w:rFonts w:asciiTheme="majorBidi" w:hAnsiTheme="majorBidi" w:cstheme="majorBidi"/>
          <w:sz w:val="24"/>
          <w:szCs w:val="24"/>
          <w:lang w:val="en-US"/>
        </w:rPr>
        <w:t xml:space="preserve">ptional </w:t>
      </w:r>
      <w:r w:rsidR="00515E43" w:rsidRPr="00D806D9">
        <w:rPr>
          <w:rFonts w:asciiTheme="majorBidi" w:hAnsiTheme="majorBidi" w:cstheme="majorBidi"/>
          <w:sz w:val="24"/>
          <w:szCs w:val="24"/>
          <w:lang w:val="en-US"/>
        </w:rPr>
        <w:t>for</w:t>
      </w:r>
      <w:r w:rsidRPr="00D806D9">
        <w:rPr>
          <w:rFonts w:asciiTheme="majorBidi" w:hAnsiTheme="majorBidi" w:cstheme="majorBidi"/>
          <w:sz w:val="24"/>
          <w:szCs w:val="24"/>
          <w:lang w:val="en-US"/>
        </w:rPr>
        <w:t xml:space="preserve"> installations emitting less than 2 500 tons in revision D</w:t>
      </w:r>
      <w:r w:rsidR="00515E43" w:rsidRPr="00D806D9">
        <w:rPr>
          <w:rFonts w:asciiTheme="majorBidi" w:hAnsiTheme="majorBidi" w:cstheme="majorBidi"/>
          <w:sz w:val="24"/>
          <w:szCs w:val="24"/>
          <w:lang w:val="en-US"/>
        </w:rPr>
        <w:t xml:space="preserve">irective </w:t>
      </w:r>
      <w:r w:rsidRPr="00D806D9">
        <w:rPr>
          <w:rFonts w:asciiTheme="majorBidi" w:hAnsiTheme="majorBidi" w:cstheme="majorBidi"/>
          <w:sz w:val="24"/>
          <w:szCs w:val="24"/>
          <w:lang w:val="en-US"/>
        </w:rPr>
        <w:t>(EU) 2018/410</w:t>
      </w:r>
      <w:r w:rsidR="0050001F" w:rsidRPr="00D806D9">
        <w:rPr>
          <w:rFonts w:asciiTheme="majorBidi" w:hAnsiTheme="majorBidi" w:cstheme="majorBidi"/>
          <w:sz w:val="24"/>
          <w:szCs w:val="24"/>
          <w:lang w:val="en-US"/>
        </w:rPr>
        <w:t xml:space="preserve"> (E</w:t>
      </w:r>
      <w:r w:rsidR="001E2136" w:rsidRPr="00D806D9">
        <w:rPr>
          <w:rFonts w:asciiTheme="majorBidi" w:hAnsiTheme="majorBidi" w:cstheme="majorBidi"/>
          <w:sz w:val="24"/>
          <w:szCs w:val="24"/>
          <w:lang w:val="en-US"/>
        </w:rPr>
        <w:t>PC</w:t>
      </w:r>
      <w:r w:rsidR="0050001F" w:rsidRPr="00D806D9">
        <w:rPr>
          <w:rFonts w:asciiTheme="majorBidi" w:hAnsiTheme="majorBidi" w:cstheme="majorBidi"/>
          <w:sz w:val="24"/>
          <w:szCs w:val="24"/>
          <w:lang w:val="en-US"/>
        </w:rPr>
        <w:t>, 2018)</w:t>
      </w:r>
      <w:r w:rsidR="00515E43" w:rsidRPr="00D806D9">
        <w:rPr>
          <w:rFonts w:asciiTheme="majorBidi" w:hAnsiTheme="majorBidi" w:cstheme="majorBidi"/>
          <w:sz w:val="24"/>
          <w:szCs w:val="24"/>
          <w:lang w:val="en-US"/>
        </w:rPr>
        <w:t>.</w:t>
      </w:r>
      <w:r w:rsidR="001A2E0E"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Second, some decisions can be explained using jointly public </w:t>
      </w:r>
      <w:r w:rsidR="00696831" w:rsidRPr="00D806D9">
        <w:rPr>
          <w:rFonts w:asciiTheme="majorBidi" w:hAnsiTheme="majorBidi" w:cstheme="majorBidi"/>
          <w:sz w:val="24"/>
          <w:szCs w:val="24"/>
          <w:lang w:val="en-US"/>
        </w:rPr>
        <w:t>choice</w:t>
      </w:r>
      <w:r w:rsidRPr="00D806D9">
        <w:rPr>
          <w:rFonts w:asciiTheme="majorBidi" w:hAnsiTheme="majorBidi" w:cstheme="majorBidi"/>
          <w:sz w:val="24"/>
          <w:szCs w:val="24"/>
          <w:lang w:val="en-US"/>
        </w:rPr>
        <w:t xml:space="preserve"> and regulatory capture theories, </w:t>
      </w:r>
      <w:proofErr w:type="spellStart"/>
      <w:r w:rsidR="00842515" w:rsidRPr="00D806D9">
        <w:rPr>
          <w:rFonts w:asciiTheme="majorBidi" w:hAnsiTheme="majorBidi" w:cstheme="majorBidi"/>
          <w:sz w:val="24"/>
          <w:szCs w:val="24"/>
          <w:lang w:val="en-US"/>
        </w:rPr>
        <w:t>Mildenberger</w:t>
      </w:r>
      <w:proofErr w:type="spellEnd"/>
      <w:r w:rsidR="00842515"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calling this convergence the “double representation of carbon polluters.” Following a demand for environmental regulation coming from multiple parties, EU politicians decided </w:t>
      </w:r>
      <w:r w:rsidR="007C274C">
        <w:rPr>
          <w:rFonts w:asciiTheme="majorBidi" w:hAnsiTheme="majorBidi" w:cstheme="majorBidi"/>
          <w:sz w:val="24"/>
          <w:szCs w:val="24"/>
          <w:lang w:val="en-US"/>
        </w:rPr>
        <w:t>on</w:t>
      </w:r>
      <w:r w:rsidRPr="00D806D9">
        <w:rPr>
          <w:rFonts w:asciiTheme="majorBidi" w:hAnsiTheme="majorBidi" w:cstheme="majorBidi"/>
          <w:sz w:val="24"/>
          <w:szCs w:val="24"/>
          <w:lang w:val="en-US"/>
        </w:rPr>
        <w:t xml:space="preserve"> a market-based instrument requiring extensive regulatory design as a “prototype” (Ellerman, 20</w:t>
      </w:r>
      <w:r w:rsidR="00FB2177" w:rsidRPr="00D806D9">
        <w:rPr>
          <w:rFonts w:asciiTheme="majorBidi" w:hAnsiTheme="majorBidi" w:cstheme="majorBidi"/>
          <w:sz w:val="24"/>
          <w:szCs w:val="24"/>
          <w:lang w:val="en-US"/>
        </w:rPr>
        <w:t>09</w:t>
      </w:r>
      <w:r w:rsidRPr="00D806D9">
        <w:rPr>
          <w:rFonts w:asciiTheme="majorBidi" w:hAnsiTheme="majorBidi" w:cstheme="majorBidi"/>
          <w:sz w:val="24"/>
          <w:szCs w:val="24"/>
          <w:lang w:val="en-US"/>
        </w:rPr>
        <w:t xml:space="preserve">). The need to protect firms, gain their support and avoid production relocations created a bias that was used to grant extensive exemption rights </w:t>
      </w:r>
      <w:r w:rsidR="001A2E0E" w:rsidRPr="00D806D9">
        <w:rPr>
          <w:rFonts w:asciiTheme="majorBidi" w:hAnsiTheme="majorBidi" w:cstheme="majorBidi"/>
          <w:sz w:val="24"/>
          <w:szCs w:val="24"/>
          <w:lang w:val="en-US"/>
        </w:rPr>
        <w:t>to EU-ETS rules</w:t>
      </w:r>
      <w:r w:rsidRPr="00D806D9">
        <w:rPr>
          <w:rFonts w:asciiTheme="majorBidi" w:hAnsiTheme="majorBidi" w:cstheme="majorBidi"/>
          <w:sz w:val="24"/>
          <w:szCs w:val="24"/>
          <w:lang w:val="en-US"/>
        </w:rPr>
        <w:t xml:space="preserve">. Indeed, EU producers </w:t>
      </w:r>
      <w:r w:rsidR="007C274C">
        <w:rPr>
          <w:rFonts w:asciiTheme="majorBidi" w:hAnsiTheme="majorBidi" w:cstheme="majorBidi"/>
          <w:sz w:val="24"/>
          <w:szCs w:val="24"/>
          <w:lang w:val="en-US"/>
        </w:rPr>
        <w:t>face</w:t>
      </w:r>
      <w:r w:rsidRPr="00D806D9">
        <w:rPr>
          <w:rFonts w:asciiTheme="majorBidi" w:hAnsiTheme="majorBidi" w:cstheme="majorBidi"/>
          <w:sz w:val="24"/>
          <w:szCs w:val="24"/>
          <w:lang w:val="en-US"/>
        </w:rPr>
        <w:t xml:space="preserve"> higher costs than </w:t>
      </w:r>
      <w:r w:rsidR="007C274C">
        <w:rPr>
          <w:rFonts w:asciiTheme="majorBidi" w:hAnsiTheme="majorBidi" w:cstheme="majorBidi"/>
          <w:sz w:val="24"/>
          <w:szCs w:val="24"/>
          <w:lang w:val="en-US"/>
        </w:rPr>
        <w:t>third countries</w:t>
      </w:r>
      <w:r w:rsidRPr="00D806D9">
        <w:rPr>
          <w:rFonts w:asciiTheme="majorBidi" w:hAnsiTheme="majorBidi" w:cstheme="majorBidi"/>
          <w:sz w:val="24"/>
          <w:szCs w:val="24"/>
          <w:lang w:val="en-US"/>
        </w:rPr>
        <w:t xml:space="preserve"> competitors due to their </w:t>
      </w:r>
      <w:r w:rsidR="007C274C">
        <w:rPr>
          <w:rFonts w:asciiTheme="majorBidi" w:hAnsiTheme="majorBidi" w:cstheme="majorBidi"/>
          <w:sz w:val="24"/>
          <w:szCs w:val="24"/>
          <w:lang w:val="en-US"/>
        </w:rPr>
        <w:t>ETS</w:t>
      </w:r>
      <w:r w:rsidRPr="00D806D9">
        <w:rPr>
          <w:rFonts w:asciiTheme="majorBidi" w:hAnsiTheme="majorBidi" w:cstheme="majorBidi"/>
          <w:sz w:val="24"/>
          <w:szCs w:val="24"/>
          <w:lang w:val="en-US"/>
        </w:rPr>
        <w:t xml:space="preserve"> obligations</w:t>
      </w:r>
      <w:r w:rsidR="001A2E0E" w:rsidRPr="00D806D9">
        <w:rPr>
          <w:rFonts w:asciiTheme="majorBidi" w:hAnsiTheme="majorBidi" w:cstheme="majorBidi"/>
          <w:sz w:val="24"/>
          <w:szCs w:val="24"/>
          <w:lang w:val="en-US"/>
        </w:rPr>
        <w:t>, t</w:t>
      </w:r>
      <w:r w:rsidRPr="00D806D9">
        <w:rPr>
          <w:rFonts w:asciiTheme="majorBidi" w:hAnsiTheme="majorBidi" w:cstheme="majorBidi"/>
          <w:sz w:val="24"/>
          <w:szCs w:val="24"/>
          <w:lang w:val="en-US"/>
        </w:rPr>
        <w:t xml:space="preserve">hese competitors would have had the possibility to free-ride on </w:t>
      </w:r>
      <w:r w:rsidR="007C274C">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EU’s voluntary climate policy</w:t>
      </w:r>
      <w:r w:rsidR="0021653F">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creating a risk of carbon leakages.</w:t>
      </w:r>
      <w:r w:rsidR="001A2E0E" w:rsidRPr="00D806D9">
        <w:rPr>
          <w:rFonts w:asciiTheme="majorBidi" w:hAnsiTheme="majorBidi" w:cstheme="majorBidi"/>
          <w:sz w:val="24"/>
          <w:szCs w:val="24"/>
          <w:lang w:val="en-US"/>
        </w:rPr>
        <w:t xml:space="preserve"> P</w:t>
      </w:r>
      <w:r w:rsidRPr="00D806D9">
        <w:rPr>
          <w:rFonts w:asciiTheme="majorBidi" w:hAnsiTheme="majorBidi" w:cstheme="majorBidi"/>
          <w:sz w:val="24"/>
          <w:szCs w:val="24"/>
          <w:lang w:val="en-US"/>
        </w:rPr>
        <w:t>oliticians became the voice of their respective country’s carbon/</w:t>
      </w:r>
      <w:r w:rsidR="007C274C">
        <w:rPr>
          <w:rFonts w:asciiTheme="majorBidi" w:hAnsiTheme="majorBidi" w:cstheme="majorBidi"/>
          <w:sz w:val="24"/>
          <w:szCs w:val="24"/>
          <w:lang w:val="en-US"/>
        </w:rPr>
        <w:t>energy-intensive</w:t>
      </w:r>
      <w:r w:rsidRPr="00D806D9">
        <w:rPr>
          <w:rFonts w:asciiTheme="majorBidi" w:hAnsiTheme="majorBidi" w:cstheme="majorBidi"/>
          <w:sz w:val="24"/>
          <w:szCs w:val="24"/>
          <w:lang w:val="en-US"/>
        </w:rPr>
        <w:t xml:space="preserve"> industrial interests</w:t>
      </w:r>
      <w:r w:rsidR="001A2E0E"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differences between MS’ “climate policymaking trajectories </w:t>
      </w:r>
      <w:r w:rsidR="007C274C">
        <w:rPr>
          <w:rFonts w:asciiTheme="majorBidi" w:hAnsiTheme="majorBidi" w:cstheme="majorBidi"/>
          <w:sz w:val="24"/>
          <w:szCs w:val="24"/>
          <w:lang w:val="en-US"/>
        </w:rPr>
        <w:t>[</w:t>
      </w:r>
      <w:r w:rsidRPr="00D806D9">
        <w:rPr>
          <w:rFonts w:asciiTheme="majorBidi" w:hAnsiTheme="majorBidi" w:cstheme="majorBidi"/>
          <w:sz w:val="24"/>
          <w:szCs w:val="24"/>
          <w:lang w:val="en-US"/>
        </w:rPr>
        <w:t>reflect</w:t>
      </w:r>
      <w:r w:rsidR="007C274C">
        <w:rPr>
          <w:rFonts w:asciiTheme="majorBidi" w:hAnsiTheme="majorBidi" w:cstheme="majorBidi"/>
          <w:sz w:val="24"/>
          <w:szCs w:val="24"/>
          <w:lang w:val="en-US"/>
        </w:rPr>
        <w:t>ing]</w:t>
      </w:r>
      <w:r w:rsidRPr="00D806D9">
        <w:rPr>
          <w:rFonts w:asciiTheme="majorBidi" w:hAnsiTheme="majorBidi" w:cstheme="majorBidi"/>
          <w:sz w:val="24"/>
          <w:szCs w:val="24"/>
          <w:lang w:val="en-US"/>
        </w:rPr>
        <w:t xml:space="preserve"> institutional differences in carbon polluter influence on policy design.” (</w:t>
      </w:r>
      <w:proofErr w:type="spellStart"/>
      <w:r w:rsidR="00842515" w:rsidRPr="00D806D9">
        <w:rPr>
          <w:rFonts w:asciiTheme="majorBidi" w:hAnsiTheme="majorBidi" w:cstheme="majorBidi"/>
          <w:sz w:val="24"/>
          <w:szCs w:val="24"/>
          <w:lang w:val="en-US"/>
        </w:rPr>
        <w:t>Mildenberger</w:t>
      </w:r>
      <w:proofErr w:type="spellEnd"/>
      <w:r w:rsidRPr="00D806D9">
        <w:rPr>
          <w:rFonts w:asciiTheme="majorBidi" w:hAnsiTheme="majorBidi" w:cstheme="majorBidi"/>
          <w:sz w:val="24"/>
          <w:szCs w:val="24"/>
          <w:lang w:val="en-US"/>
        </w:rPr>
        <w:t>, 2020, p.41) Germany is illustrative of this dynamic</w:t>
      </w:r>
      <w:r w:rsidR="00CF39D4">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having secured in 2008 free allowances for the steel, cement, chemicals, and coke industries (</w:t>
      </w:r>
      <w:bookmarkStart w:id="7" w:name="_Hlk110787153"/>
      <w:proofErr w:type="spellStart"/>
      <w:r w:rsidRPr="00D806D9">
        <w:rPr>
          <w:rFonts w:asciiTheme="majorBidi" w:hAnsiTheme="majorBidi" w:cstheme="majorBidi"/>
          <w:sz w:val="24"/>
          <w:szCs w:val="24"/>
          <w:lang w:val="en-US"/>
        </w:rPr>
        <w:t>Skjærseth</w:t>
      </w:r>
      <w:proofErr w:type="spellEnd"/>
      <w:r w:rsidRPr="00D806D9">
        <w:rPr>
          <w:rFonts w:asciiTheme="majorBidi" w:hAnsiTheme="majorBidi" w:cstheme="majorBidi"/>
          <w:sz w:val="24"/>
          <w:szCs w:val="24"/>
          <w:lang w:val="en-US"/>
        </w:rPr>
        <w:t xml:space="preserve"> &amp; </w:t>
      </w:r>
      <w:proofErr w:type="spellStart"/>
      <w:r w:rsidRPr="00D806D9">
        <w:rPr>
          <w:rFonts w:asciiTheme="majorBidi" w:hAnsiTheme="majorBidi" w:cstheme="majorBidi"/>
          <w:sz w:val="24"/>
          <w:szCs w:val="24"/>
          <w:lang w:val="en-US"/>
        </w:rPr>
        <w:t>Wettestad</w:t>
      </w:r>
      <w:proofErr w:type="spellEnd"/>
      <w:r w:rsidRPr="00D806D9">
        <w:rPr>
          <w:rFonts w:asciiTheme="majorBidi" w:hAnsiTheme="majorBidi" w:cstheme="majorBidi"/>
          <w:sz w:val="24"/>
          <w:szCs w:val="24"/>
          <w:lang w:val="en-US"/>
        </w:rPr>
        <w:t xml:space="preserve">, 2009) </w:t>
      </w:r>
      <w:bookmarkEnd w:id="7"/>
      <w:r w:rsidRPr="00D806D9">
        <w:rPr>
          <w:rFonts w:asciiTheme="majorBidi" w:hAnsiTheme="majorBidi" w:cstheme="majorBidi"/>
          <w:sz w:val="24"/>
          <w:szCs w:val="24"/>
          <w:lang w:val="en-US"/>
        </w:rPr>
        <w:t>which “created the contradictory situation of Germany being both leader in the clean energy domain despite supporting forcefully the coal industry” (</w:t>
      </w:r>
      <w:proofErr w:type="spellStart"/>
      <w:r w:rsidR="00842515" w:rsidRPr="00D806D9">
        <w:rPr>
          <w:rFonts w:asciiTheme="majorBidi" w:hAnsiTheme="majorBidi" w:cstheme="majorBidi"/>
          <w:sz w:val="24"/>
          <w:szCs w:val="24"/>
          <w:lang w:val="en-US"/>
        </w:rPr>
        <w:t>Mildenberger</w:t>
      </w:r>
      <w:proofErr w:type="spellEnd"/>
      <w:r w:rsidRPr="00D806D9">
        <w:rPr>
          <w:rFonts w:asciiTheme="majorBidi" w:hAnsiTheme="majorBidi" w:cstheme="majorBidi"/>
          <w:sz w:val="24"/>
          <w:szCs w:val="24"/>
          <w:lang w:val="en-US"/>
        </w:rPr>
        <w:t xml:space="preserve">, 2020, p.208). These industrial groups’ influence implied important consequences for the EU-ETS. Considered an </w:t>
      </w:r>
      <w:r w:rsidRPr="00D806D9">
        <w:rPr>
          <w:rFonts w:asciiTheme="majorBidi" w:hAnsiTheme="majorBidi" w:cstheme="majorBidi"/>
          <w:sz w:val="24"/>
          <w:szCs w:val="24"/>
          <w:lang w:val="en-US"/>
        </w:rPr>
        <w:lastRenderedPageBreak/>
        <w:t xml:space="preserve">inherent contradiction of emissions trading, grandfathering is justified to prevent relocations but parallelly erodes the credibility of the EU’s climate policy by indirectly </w:t>
      </w:r>
      <w:r w:rsidR="00653222" w:rsidRPr="00D806D9">
        <w:rPr>
          <w:rFonts w:asciiTheme="majorBidi" w:hAnsiTheme="majorBidi" w:cstheme="majorBidi"/>
          <w:sz w:val="24"/>
          <w:szCs w:val="24"/>
          <w:lang w:val="en-US"/>
        </w:rPr>
        <w:t xml:space="preserve">subsidizing </w:t>
      </w:r>
      <w:r w:rsidRPr="00D806D9">
        <w:rPr>
          <w:rFonts w:asciiTheme="majorBidi" w:hAnsiTheme="majorBidi" w:cstheme="majorBidi"/>
          <w:sz w:val="24"/>
          <w:szCs w:val="24"/>
          <w:lang w:val="en-US"/>
        </w:rPr>
        <w:t xml:space="preserve">polluters for polluting (Nash, 2000). Consequently, competition distortions within and across sectors in the EU as well as between MS to defend their national industrial interests were created or exacerbated </w:t>
      </w:r>
      <w:r w:rsidR="007C274C">
        <w:rPr>
          <w:rFonts w:asciiTheme="majorBidi" w:hAnsiTheme="majorBidi" w:cstheme="majorBidi"/>
          <w:sz w:val="24"/>
          <w:szCs w:val="24"/>
          <w:lang w:val="en-US"/>
        </w:rPr>
        <w:t>by</w:t>
      </w:r>
      <w:r w:rsidRPr="00D806D9">
        <w:rPr>
          <w:rFonts w:asciiTheme="majorBidi" w:hAnsiTheme="majorBidi" w:cstheme="majorBidi"/>
          <w:sz w:val="24"/>
          <w:szCs w:val="24"/>
          <w:lang w:val="en-US"/>
        </w:rPr>
        <w:t xml:space="preserve"> this initial regulatory design (</w:t>
      </w:r>
      <w:proofErr w:type="spellStart"/>
      <w:r w:rsidRPr="00D806D9">
        <w:rPr>
          <w:rFonts w:asciiTheme="majorBidi" w:hAnsiTheme="majorBidi" w:cstheme="majorBidi"/>
          <w:sz w:val="24"/>
          <w:szCs w:val="24"/>
          <w:lang w:val="en-US"/>
        </w:rPr>
        <w:t>Quirion</w:t>
      </w:r>
      <w:proofErr w:type="spellEnd"/>
      <w:r w:rsidRPr="00D806D9">
        <w:rPr>
          <w:rFonts w:asciiTheme="majorBidi" w:hAnsiTheme="majorBidi" w:cstheme="majorBidi"/>
          <w:sz w:val="24"/>
          <w:szCs w:val="24"/>
          <w:lang w:val="en-US"/>
        </w:rPr>
        <w:t xml:space="preserve">, 2021). In particular, </w:t>
      </w:r>
      <w:r w:rsidR="00653222">
        <w:rPr>
          <w:rFonts w:asciiTheme="majorBidi" w:hAnsiTheme="majorBidi" w:cstheme="majorBidi"/>
          <w:sz w:val="24"/>
          <w:szCs w:val="24"/>
          <w:lang w:val="en-US"/>
        </w:rPr>
        <w:t>larger</w:t>
      </w:r>
      <w:r w:rsidRPr="00D806D9">
        <w:rPr>
          <w:rFonts w:asciiTheme="majorBidi" w:hAnsiTheme="majorBidi" w:cstheme="majorBidi"/>
          <w:sz w:val="24"/>
          <w:szCs w:val="24"/>
          <w:lang w:val="en-US"/>
        </w:rPr>
        <w:t xml:space="preserve"> emitters</w:t>
      </w:r>
      <w:r w:rsidR="00653222">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such as energy generation sectors</w:t>
      </w:r>
      <w:r w:rsidR="00653222">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benefited from massive windfall profits (</w:t>
      </w:r>
      <w:proofErr w:type="spellStart"/>
      <w:r w:rsidRPr="00D806D9">
        <w:rPr>
          <w:rFonts w:asciiTheme="majorBidi" w:hAnsiTheme="majorBidi" w:cstheme="majorBidi"/>
          <w:sz w:val="24"/>
          <w:szCs w:val="24"/>
          <w:lang w:val="en-US"/>
        </w:rPr>
        <w:t>Cludius</w:t>
      </w:r>
      <w:proofErr w:type="spellEnd"/>
      <w:r w:rsidRPr="00D806D9">
        <w:rPr>
          <w:rFonts w:asciiTheme="majorBidi" w:hAnsiTheme="majorBidi" w:cstheme="majorBidi"/>
          <w:sz w:val="24"/>
          <w:szCs w:val="24"/>
          <w:lang w:val="en-US"/>
        </w:rPr>
        <w:t xml:space="preserve">, 2018) and </w:t>
      </w:r>
      <w:r w:rsidR="00653222">
        <w:rPr>
          <w:rFonts w:asciiTheme="majorBidi" w:hAnsiTheme="majorBidi" w:cstheme="majorBidi"/>
          <w:sz w:val="24"/>
          <w:szCs w:val="24"/>
          <w:lang w:val="en-US"/>
        </w:rPr>
        <w:t xml:space="preserve">have </w:t>
      </w:r>
      <w:r w:rsidRPr="00D806D9">
        <w:rPr>
          <w:rFonts w:asciiTheme="majorBidi" w:hAnsiTheme="majorBidi" w:cstheme="majorBidi"/>
          <w:sz w:val="24"/>
          <w:szCs w:val="24"/>
          <w:lang w:val="en-US"/>
        </w:rPr>
        <w:t xml:space="preserve">created </w:t>
      </w:r>
      <w:r w:rsidR="007C274C">
        <w:rPr>
          <w:rFonts w:asciiTheme="majorBidi" w:hAnsiTheme="majorBidi" w:cstheme="majorBidi"/>
          <w:sz w:val="24"/>
          <w:szCs w:val="24"/>
          <w:lang w:val="en-US"/>
        </w:rPr>
        <w:t xml:space="preserve">a </w:t>
      </w:r>
      <w:r w:rsidRPr="00D806D9">
        <w:rPr>
          <w:rFonts w:asciiTheme="majorBidi" w:hAnsiTheme="majorBidi" w:cstheme="majorBidi"/>
          <w:sz w:val="24"/>
          <w:szCs w:val="24"/>
          <w:lang w:val="en-US"/>
        </w:rPr>
        <w:t xml:space="preserve">lobby to preserve their rent (Fuchs &amp; </w:t>
      </w:r>
      <w:proofErr w:type="spellStart"/>
      <w:r w:rsidRPr="00D806D9">
        <w:rPr>
          <w:rFonts w:asciiTheme="majorBidi" w:hAnsiTheme="majorBidi" w:cstheme="majorBidi"/>
          <w:sz w:val="24"/>
          <w:szCs w:val="24"/>
          <w:lang w:val="en-US"/>
        </w:rPr>
        <w:t>Feldhoff</w:t>
      </w:r>
      <w:proofErr w:type="spellEnd"/>
      <w:r w:rsidRPr="00D806D9">
        <w:rPr>
          <w:rFonts w:asciiTheme="majorBidi" w:hAnsiTheme="majorBidi" w:cstheme="majorBidi"/>
          <w:sz w:val="24"/>
          <w:szCs w:val="24"/>
          <w:lang w:val="en-US"/>
        </w:rPr>
        <w:t>, 2016).</w:t>
      </w:r>
      <w:r w:rsidRPr="00D806D9">
        <w:rPr>
          <w:rFonts w:asciiTheme="majorBidi" w:hAnsiTheme="majorBidi" w:cstheme="majorBidi"/>
          <w:color w:val="FF0000"/>
          <w:sz w:val="24"/>
          <w:szCs w:val="24"/>
          <w:lang w:val="en-US"/>
        </w:rPr>
        <w:t xml:space="preserve"> </w:t>
      </w:r>
      <w:r w:rsidRPr="00D806D9">
        <w:rPr>
          <w:rFonts w:asciiTheme="majorBidi" w:hAnsiTheme="majorBidi" w:cstheme="majorBidi"/>
          <w:sz w:val="24"/>
          <w:szCs w:val="24"/>
          <w:lang w:val="en-US"/>
        </w:rPr>
        <w:t xml:space="preserve">These regulatory choices underestimated </w:t>
      </w:r>
      <w:r w:rsidR="00653222">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dynamic effects, thus undermining the EU-ETS’ efficiency.</w:t>
      </w:r>
    </w:p>
    <w:p w14:paraId="596BEF5D" w14:textId="77777777" w:rsidR="00E83AE2" w:rsidRPr="00D806D9" w:rsidRDefault="00E83AE2" w:rsidP="00D806D9">
      <w:pPr>
        <w:spacing w:after="0" w:line="480" w:lineRule="auto"/>
        <w:rPr>
          <w:rFonts w:asciiTheme="majorBidi" w:hAnsiTheme="majorBidi" w:cstheme="majorBidi"/>
          <w:sz w:val="24"/>
          <w:szCs w:val="24"/>
          <w:lang w:val="en-US"/>
        </w:rPr>
      </w:pPr>
    </w:p>
    <w:p w14:paraId="1CCA97FB" w14:textId="710A01FF" w:rsidR="00E83AE2" w:rsidRPr="00D806D9" w:rsidRDefault="00E83AE2" w:rsidP="00D806D9">
      <w:pPr>
        <w:spacing w:after="0" w:line="480" w:lineRule="auto"/>
        <w:ind w:firstLine="708"/>
        <w:rPr>
          <w:rFonts w:asciiTheme="majorBidi" w:hAnsiTheme="majorBidi" w:cstheme="majorBidi"/>
          <w:b/>
          <w:bCs/>
          <w:sz w:val="24"/>
          <w:szCs w:val="24"/>
          <w:lang w:val="en-US"/>
        </w:rPr>
      </w:pPr>
      <w:r w:rsidRPr="00D806D9">
        <w:rPr>
          <w:rFonts w:asciiTheme="majorBidi" w:hAnsiTheme="majorBidi" w:cstheme="majorBidi"/>
          <w:b/>
          <w:bCs/>
          <w:sz w:val="24"/>
          <w:szCs w:val="24"/>
          <w:lang w:val="en-US"/>
        </w:rPr>
        <w:t>3.1.2</w:t>
      </w:r>
      <w:r w:rsidR="00C30A3B" w:rsidRPr="00D806D9">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ab/>
        <w:t xml:space="preserve">Governance </w:t>
      </w:r>
      <w:r w:rsidR="001C2413" w:rsidRPr="00D806D9">
        <w:rPr>
          <w:rFonts w:asciiTheme="majorBidi" w:hAnsiTheme="majorBidi" w:cstheme="majorBidi"/>
          <w:b/>
          <w:bCs/>
          <w:sz w:val="24"/>
          <w:szCs w:val="24"/>
          <w:lang w:val="en-US"/>
        </w:rPr>
        <w:t>f</w:t>
      </w:r>
      <w:r w:rsidRPr="00D806D9">
        <w:rPr>
          <w:rFonts w:asciiTheme="majorBidi" w:hAnsiTheme="majorBidi" w:cstheme="majorBidi"/>
          <w:b/>
          <w:bCs/>
          <w:sz w:val="24"/>
          <w:szCs w:val="24"/>
          <w:lang w:val="en-US"/>
        </w:rPr>
        <w:t xml:space="preserve">laws in the </w:t>
      </w:r>
      <w:r w:rsidR="001C2413" w:rsidRPr="00D806D9">
        <w:rPr>
          <w:rFonts w:asciiTheme="majorBidi" w:hAnsiTheme="majorBidi" w:cstheme="majorBidi"/>
          <w:b/>
          <w:bCs/>
          <w:sz w:val="24"/>
          <w:szCs w:val="24"/>
          <w:lang w:val="en-US"/>
        </w:rPr>
        <w:t>f</w:t>
      </w:r>
      <w:r w:rsidRPr="00D806D9">
        <w:rPr>
          <w:rFonts w:asciiTheme="majorBidi" w:hAnsiTheme="majorBidi" w:cstheme="majorBidi"/>
          <w:b/>
          <w:bCs/>
          <w:sz w:val="24"/>
          <w:szCs w:val="24"/>
          <w:lang w:val="en-US"/>
        </w:rPr>
        <w:t xml:space="preserve">irst EU-ETS </w:t>
      </w:r>
      <w:r w:rsidR="001C2413" w:rsidRPr="00D806D9">
        <w:rPr>
          <w:rFonts w:asciiTheme="majorBidi" w:hAnsiTheme="majorBidi" w:cstheme="majorBidi"/>
          <w:b/>
          <w:bCs/>
          <w:sz w:val="24"/>
          <w:szCs w:val="24"/>
          <w:lang w:val="en-US"/>
        </w:rPr>
        <w:t>p</w:t>
      </w:r>
      <w:r w:rsidRPr="00D806D9">
        <w:rPr>
          <w:rFonts w:asciiTheme="majorBidi" w:hAnsiTheme="majorBidi" w:cstheme="majorBidi"/>
          <w:b/>
          <w:bCs/>
          <w:sz w:val="24"/>
          <w:szCs w:val="24"/>
          <w:lang w:val="en-US"/>
        </w:rPr>
        <w:t>hases</w:t>
      </w:r>
    </w:p>
    <w:p w14:paraId="23353FD1" w14:textId="77777777" w:rsidR="00E83AE2" w:rsidRPr="00D806D9" w:rsidRDefault="00E83AE2" w:rsidP="00D806D9">
      <w:pPr>
        <w:spacing w:after="0" w:line="480" w:lineRule="auto"/>
        <w:jc w:val="both"/>
        <w:rPr>
          <w:rFonts w:asciiTheme="majorBidi" w:hAnsiTheme="majorBidi" w:cstheme="majorBidi"/>
          <w:b/>
          <w:bCs/>
          <w:sz w:val="24"/>
          <w:szCs w:val="24"/>
          <w:lang w:val="en-US"/>
        </w:rPr>
      </w:pPr>
    </w:p>
    <w:p w14:paraId="4CDE0147" w14:textId="176D9488"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Important governance problems were identified for the EU-ETS’ initial phases. First, as generic rules were applied differently by MS, it resulted in over-allocation of allowances. This was due to differentiated national energy policies (</w:t>
      </w:r>
      <w:proofErr w:type="spellStart"/>
      <w:r w:rsidRPr="00D806D9">
        <w:rPr>
          <w:rFonts w:asciiTheme="majorBidi" w:hAnsiTheme="majorBidi" w:cstheme="majorBidi"/>
          <w:sz w:val="24"/>
          <w:szCs w:val="24"/>
          <w:lang w:val="en-US"/>
        </w:rPr>
        <w:t>Sijm</w:t>
      </w:r>
      <w:proofErr w:type="spellEnd"/>
      <w:r w:rsidRPr="00D806D9">
        <w:rPr>
          <w:rFonts w:asciiTheme="majorBidi" w:hAnsiTheme="majorBidi" w:cstheme="majorBidi"/>
          <w:sz w:val="24"/>
          <w:szCs w:val="24"/>
          <w:lang w:val="en-US"/>
        </w:rPr>
        <w:t xml:space="preserve">, 2005), variations on new installations and closures transfers policies, application of different </w:t>
      </w:r>
      <w:r w:rsidR="007C274C">
        <w:rPr>
          <w:rFonts w:asciiTheme="majorBidi" w:hAnsiTheme="majorBidi" w:cstheme="majorBidi"/>
          <w:sz w:val="24"/>
          <w:szCs w:val="24"/>
          <w:lang w:val="en-US"/>
        </w:rPr>
        <w:t>benchmarks,</w:t>
      </w:r>
      <w:r w:rsidRPr="00D806D9">
        <w:rPr>
          <w:rFonts w:asciiTheme="majorBidi" w:hAnsiTheme="majorBidi" w:cstheme="majorBidi"/>
          <w:sz w:val="24"/>
          <w:szCs w:val="24"/>
          <w:lang w:val="en-US"/>
        </w:rPr>
        <w:t xml:space="preserve"> and MS acting distinctly regarding how to account for firms’ previous climate actions and related free allowances. This situation generated a “lack of adequate stringency” (</w:t>
      </w:r>
      <w:proofErr w:type="spellStart"/>
      <w:r w:rsidRPr="00D806D9">
        <w:rPr>
          <w:rFonts w:asciiTheme="majorBidi" w:hAnsiTheme="majorBidi" w:cstheme="majorBidi"/>
          <w:sz w:val="24"/>
          <w:szCs w:val="24"/>
          <w:lang w:val="en-US"/>
        </w:rPr>
        <w:t>Borghesi</w:t>
      </w:r>
      <w:proofErr w:type="spellEnd"/>
      <w:r w:rsidRPr="00D806D9">
        <w:rPr>
          <w:rFonts w:asciiTheme="majorBidi" w:hAnsiTheme="majorBidi" w:cstheme="majorBidi"/>
          <w:sz w:val="24"/>
          <w:szCs w:val="24"/>
          <w:lang w:val="en-US"/>
        </w:rPr>
        <w:t xml:space="preserve"> &amp; </w:t>
      </w:r>
      <w:proofErr w:type="spellStart"/>
      <w:r w:rsidRPr="00D806D9">
        <w:rPr>
          <w:rFonts w:asciiTheme="majorBidi" w:hAnsiTheme="majorBidi" w:cstheme="majorBidi"/>
          <w:sz w:val="24"/>
          <w:szCs w:val="24"/>
          <w:lang w:val="en-US"/>
        </w:rPr>
        <w:t>Montini</w:t>
      </w:r>
      <w:proofErr w:type="spellEnd"/>
      <w:r w:rsidRPr="00D806D9">
        <w:rPr>
          <w:rFonts w:asciiTheme="majorBidi" w:hAnsiTheme="majorBidi" w:cstheme="majorBidi"/>
          <w:sz w:val="24"/>
          <w:szCs w:val="24"/>
          <w:lang w:val="en-US"/>
        </w:rPr>
        <w:t>, 2016, p.3), reinforcing competition distortions created by grandfathering. Second, transparency and monitoring problems led to frauds such as allowances disappearance from national registries or VAT fraud (</w:t>
      </w:r>
      <w:proofErr w:type="spellStart"/>
      <w:r w:rsidRPr="00D806D9">
        <w:rPr>
          <w:rFonts w:asciiTheme="majorBidi" w:hAnsiTheme="majorBidi" w:cstheme="majorBidi"/>
          <w:sz w:val="24"/>
          <w:szCs w:val="24"/>
          <w:lang w:val="en-US"/>
        </w:rPr>
        <w:t>Frunza</w:t>
      </w:r>
      <w:proofErr w:type="spellEnd"/>
      <w:r w:rsidRPr="00D806D9">
        <w:rPr>
          <w:rFonts w:asciiTheme="majorBidi" w:hAnsiTheme="majorBidi" w:cstheme="majorBidi"/>
          <w:sz w:val="24"/>
          <w:szCs w:val="24"/>
          <w:lang w:val="en-US"/>
        </w:rPr>
        <w:t xml:space="preserve"> et al., 2011) that weakened the EU-ETS’ overall efficiency</w:t>
      </w:r>
      <w:r w:rsidRPr="00D806D9">
        <w:rPr>
          <w:sz w:val="19"/>
          <w:szCs w:val="19"/>
          <w:lang w:val="en-US"/>
        </w:rPr>
        <w:t xml:space="preserve">. </w:t>
      </w:r>
      <w:r w:rsidRPr="00D806D9">
        <w:rPr>
          <w:rFonts w:asciiTheme="majorBidi" w:hAnsiTheme="majorBidi" w:cstheme="majorBidi"/>
          <w:sz w:val="24"/>
          <w:szCs w:val="24"/>
          <w:lang w:val="en-US"/>
        </w:rPr>
        <w:t xml:space="preserve">To resolve </w:t>
      </w:r>
      <w:r w:rsidR="007C274C">
        <w:rPr>
          <w:rFonts w:asciiTheme="majorBidi" w:hAnsiTheme="majorBidi" w:cstheme="majorBidi"/>
          <w:sz w:val="24"/>
          <w:szCs w:val="24"/>
          <w:lang w:val="en-US"/>
        </w:rPr>
        <w:t>these</w:t>
      </w:r>
      <w:r w:rsidRPr="00D806D9">
        <w:rPr>
          <w:rFonts w:asciiTheme="majorBidi" w:hAnsiTheme="majorBidi" w:cstheme="majorBidi"/>
          <w:sz w:val="24"/>
          <w:szCs w:val="24"/>
          <w:lang w:val="en-US"/>
        </w:rPr>
        <w:t xml:space="preserve"> issues, a centralized Union Registry for allowances was established </w:t>
      </w:r>
      <w:r w:rsidR="007A472E" w:rsidRPr="00D806D9">
        <w:rPr>
          <w:rFonts w:asciiTheme="majorBidi" w:hAnsiTheme="majorBidi" w:cstheme="majorBidi"/>
          <w:sz w:val="24"/>
          <w:szCs w:val="24"/>
          <w:lang w:val="en-US"/>
        </w:rPr>
        <w:t>by the EU Regulation 389/2013 (EC, 2013)</w:t>
      </w:r>
      <w:r w:rsidR="001E2136" w:rsidRPr="00D806D9">
        <w:rPr>
          <w:rFonts w:asciiTheme="majorBidi" w:hAnsiTheme="majorBidi" w:cstheme="majorBidi"/>
          <w:sz w:val="24"/>
          <w:szCs w:val="24"/>
          <w:lang w:val="en-US"/>
        </w:rPr>
        <w:t xml:space="preserve">. Further, </w:t>
      </w:r>
      <w:r w:rsidR="007C274C">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allocation decision was assigned</w:t>
      </w:r>
      <w:r w:rsidR="007A472E" w:rsidRPr="00D806D9">
        <w:rPr>
          <w:rFonts w:asciiTheme="majorBidi" w:hAnsiTheme="majorBidi" w:cstheme="majorBidi"/>
          <w:sz w:val="24"/>
          <w:szCs w:val="24"/>
          <w:lang w:val="en-US"/>
        </w:rPr>
        <w:t xml:space="preserve"> by Directive 2009/29</w:t>
      </w:r>
      <w:r w:rsidR="00910FDA" w:rsidRPr="00D806D9">
        <w:rPr>
          <w:rFonts w:asciiTheme="majorBidi" w:hAnsiTheme="majorBidi" w:cstheme="majorBidi"/>
          <w:sz w:val="24"/>
          <w:szCs w:val="24"/>
          <w:lang w:val="en-US"/>
        </w:rPr>
        <w:t>/EC</w:t>
      </w:r>
      <w:r w:rsidRPr="00D806D9">
        <w:rPr>
          <w:rFonts w:asciiTheme="majorBidi" w:hAnsiTheme="majorBidi" w:cstheme="majorBidi"/>
          <w:sz w:val="24"/>
          <w:szCs w:val="24"/>
          <w:lang w:val="en-US"/>
        </w:rPr>
        <w:t xml:space="preserve"> </w:t>
      </w:r>
      <w:r w:rsidR="00910FDA" w:rsidRPr="00D806D9">
        <w:rPr>
          <w:rFonts w:asciiTheme="majorBidi" w:hAnsiTheme="majorBidi" w:cstheme="majorBidi"/>
          <w:sz w:val="24"/>
          <w:szCs w:val="24"/>
          <w:lang w:val="en-US"/>
        </w:rPr>
        <w:t xml:space="preserve">(EPC, 2009) </w:t>
      </w:r>
      <w:r w:rsidRPr="00D806D9">
        <w:rPr>
          <w:rFonts w:asciiTheme="majorBidi" w:hAnsiTheme="majorBidi" w:cstheme="majorBidi"/>
          <w:sz w:val="24"/>
          <w:szCs w:val="24"/>
          <w:lang w:val="en-US"/>
        </w:rPr>
        <w:t>to the EC</w:t>
      </w:r>
      <w:r w:rsidR="00C81FF4">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t>
      </w:r>
      <w:r w:rsidR="007C274C">
        <w:rPr>
          <w:rFonts w:asciiTheme="majorBidi" w:hAnsiTheme="majorBidi" w:cstheme="majorBidi"/>
          <w:sz w:val="24"/>
          <w:szCs w:val="24"/>
          <w:lang w:val="en-US"/>
        </w:rPr>
        <w:t>which</w:t>
      </w:r>
      <w:r w:rsidRPr="00D806D9">
        <w:rPr>
          <w:rFonts w:asciiTheme="majorBidi" w:hAnsiTheme="majorBidi" w:cstheme="majorBidi"/>
          <w:sz w:val="24"/>
          <w:szCs w:val="24"/>
          <w:lang w:val="en-US"/>
        </w:rPr>
        <w:t xml:space="preserve"> is setting the cap since phase 3 (2013-2020). </w:t>
      </w:r>
    </w:p>
    <w:p w14:paraId="6FCE6471" w14:textId="2E5BF00D" w:rsidR="00E83AE2" w:rsidRPr="00D806D9" w:rsidRDefault="00E83AE2" w:rsidP="00D806D9">
      <w:pPr>
        <w:spacing w:after="0" w:line="480" w:lineRule="auto"/>
        <w:ind w:firstLine="708"/>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3.2</w:t>
      </w:r>
      <w:r w:rsidR="00C30A3B" w:rsidRPr="00D806D9">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ab/>
        <w:t xml:space="preserve">EUA </w:t>
      </w:r>
      <w:r w:rsidR="001C2413" w:rsidRPr="00D806D9">
        <w:rPr>
          <w:rFonts w:asciiTheme="majorBidi" w:hAnsiTheme="majorBidi" w:cstheme="majorBidi"/>
          <w:b/>
          <w:bCs/>
          <w:sz w:val="24"/>
          <w:szCs w:val="24"/>
          <w:lang w:val="en-US"/>
        </w:rPr>
        <w:t>p</w:t>
      </w:r>
      <w:r w:rsidRPr="00D806D9">
        <w:rPr>
          <w:rFonts w:asciiTheme="majorBidi" w:hAnsiTheme="majorBidi" w:cstheme="majorBidi"/>
          <w:b/>
          <w:bCs/>
          <w:sz w:val="24"/>
          <w:szCs w:val="24"/>
          <w:lang w:val="en-US"/>
        </w:rPr>
        <w:t xml:space="preserve">rice </w:t>
      </w:r>
      <w:r w:rsidR="001C2413" w:rsidRPr="00D806D9">
        <w:rPr>
          <w:rFonts w:asciiTheme="majorBidi" w:hAnsiTheme="majorBidi" w:cstheme="majorBidi"/>
          <w:b/>
          <w:bCs/>
          <w:sz w:val="24"/>
          <w:szCs w:val="24"/>
          <w:lang w:val="en-US"/>
        </w:rPr>
        <w:t>f</w:t>
      </w:r>
      <w:r w:rsidRPr="00D806D9">
        <w:rPr>
          <w:rFonts w:asciiTheme="majorBidi" w:hAnsiTheme="majorBidi" w:cstheme="majorBidi"/>
          <w:b/>
          <w:bCs/>
          <w:sz w:val="24"/>
          <w:szCs w:val="24"/>
          <w:lang w:val="en-US"/>
        </w:rPr>
        <w:t xml:space="preserve">ormation, </w:t>
      </w:r>
      <w:r w:rsidR="001C2413" w:rsidRPr="00D806D9">
        <w:rPr>
          <w:rFonts w:asciiTheme="majorBidi" w:hAnsiTheme="majorBidi" w:cstheme="majorBidi"/>
          <w:b/>
          <w:bCs/>
          <w:sz w:val="24"/>
          <w:szCs w:val="24"/>
          <w:lang w:val="en-US"/>
        </w:rPr>
        <w:t>e</w:t>
      </w:r>
      <w:r w:rsidRPr="00D806D9">
        <w:rPr>
          <w:rFonts w:asciiTheme="majorBidi" w:hAnsiTheme="majorBidi" w:cstheme="majorBidi"/>
          <w:b/>
          <w:bCs/>
          <w:sz w:val="24"/>
          <w:szCs w:val="24"/>
          <w:lang w:val="en-US"/>
        </w:rPr>
        <w:t>volutions</w:t>
      </w:r>
      <w:r w:rsidR="007C274C">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 xml:space="preserve"> and </w:t>
      </w:r>
      <w:r w:rsidR="001C2413" w:rsidRPr="00D806D9">
        <w:rPr>
          <w:rFonts w:asciiTheme="majorBidi" w:hAnsiTheme="majorBidi" w:cstheme="majorBidi"/>
          <w:b/>
          <w:bCs/>
          <w:sz w:val="24"/>
          <w:szCs w:val="24"/>
          <w:lang w:val="en-US"/>
        </w:rPr>
        <w:t>p</w:t>
      </w:r>
      <w:r w:rsidRPr="00D806D9">
        <w:rPr>
          <w:rFonts w:asciiTheme="majorBidi" w:hAnsiTheme="majorBidi" w:cstheme="majorBidi"/>
          <w:b/>
          <w:bCs/>
          <w:sz w:val="24"/>
          <w:szCs w:val="24"/>
          <w:lang w:val="en-US"/>
        </w:rPr>
        <w:t>redictability</w:t>
      </w:r>
    </w:p>
    <w:p w14:paraId="5BF04101" w14:textId="77777777" w:rsidR="00E83AE2" w:rsidRPr="00D806D9" w:rsidRDefault="00E83AE2" w:rsidP="00D806D9">
      <w:pPr>
        <w:spacing w:after="0" w:line="480" w:lineRule="auto"/>
        <w:rPr>
          <w:rFonts w:asciiTheme="majorBidi" w:hAnsiTheme="majorBidi" w:cstheme="majorBidi"/>
          <w:sz w:val="24"/>
          <w:szCs w:val="24"/>
          <w:lang w:val="en-US"/>
        </w:rPr>
      </w:pPr>
    </w:p>
    <w:p w14:paraId="379D70F9" w14:textId="73492C51" w:rsidR="00E83AE2" w:rsidRPr="00D806D9" w:rsidRDefault="00DA49FF"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noProof/>
          <w:sz w:val="24"/>
          <w:szCs w:val="24"/>
          <w:lang w:val="en-US"/>
        </w:rPr>
        <w:drawing>
          <wp:anchor distT="180340" distB="180340" distL="114300" distR="114300" simplePos="0" relativeHeight="251671552" behindDoc="0" locked="0" layoutInCell="1" allowOverlap="1" wp14:anchorId="4FC3139D" wp14:editId="026B8DCD">
            <wp:simplePos x="0" y="0"/>
            <wp:positionH relativeFrom="margin">
              <wp:align>center</wp:align>
            </wp:positionH>
            <wp:positionV relativeFrom="paragraph">
              <wp:posOffset>1600636</wp:posOffset>
            </wp:positionV>
            <wp:extent cx="5399405" cy="3613785"/>
            <wp:effectExtent l="19050" t="19050" r="10795" b="24765"/>
            <wp:wrapTopAndBottom/>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399405" cy="361378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E83AE2" w:rsidRPr="00D806D9">
        <w:rPr>
          <w:rFonts w:asciiTheme="majorBidi" w:hAnsiTheme="majorBidi" w:cstheme="majorBidi"/>
          <w:sz w:val="24"/>
          <w:szCs w:val="24"/>
          <w:lang w:val="en-US"/>
        </w:rPr>
        <w:t xml:space="preserve">Characterized by its volatility and low price since its inception, </w:t>
      </w:r>
      <w:r w:rsidR="001E2136" w:rsidRPr="00D806D9">
        <w:rPr>
          <w:rFonts w:asciiTheme="majorBidi" w:hAnsiTheme="majorBidi" w:cstheme="majorBidi"/>
          <w:sz w:val="24"/>
          <w:szCs w:val="24"/>
          <w:lang w:val="en-US"/>
        </w:rPr>
        <w:t>the mechanism can still have the possibility to incentive behaviors by its very existence</w:t>
      </w:r>
      <w:r w:rsidR="00BD3F6D">
        <w:rPr>
          <w:rFonts w:asciiTheme="majorBidi" w:hAnsiTheme="majorBidi" w:cstheme="majorBidi"/>
          <w:sz w:val="24"/>
          <w:szCs w:val="24"/>
          <w:lang w:val="en-US"/>
        </w:rPr>
        <w:t>,</w:t>
      </w:r>
      <w:r w:rsidR="001E2136" w:rsidRPr="00D806D9">
        <w:rPr>
          <w:rFonts w:asciiTheme="majorBidi" w:hAnsiTheme="majorBidi" w:cstheme="majorBidi"/>
          <w:sz w:val="24"/>
          <w:szCs w:val="24"/>
          <w:lang w:val="en-US"/>
        </w:rPr>
        <w:t xml:space="preserve"> but it is not an optimal result (Faure &amp; Partain, 2019). </w:t>
      </w:r>
      <w:r w:rsidR="00E83AE2" w:rsidRPr="00D806D9">
        <w:rPr>
          <w:rFonts w:asciiTheme="majorBidi" w:hAnsiTheme="majorBidi" w:cstheme="majorBidi"/>
          <w:sz w:val="24"/>
          <w:szCs w:val="24"/>
          <w:lang w:val="en-US"/>
        </w:rPr>
        <w:t xml:space="preserve">EUA price which increased strongly over the </w:t>
      </w:r>
      <w:r w:rsidR="001E2136" w:rsidRPr="00D806D9">
        <w:rPr>
          <w:rFonts w:asciiTheme="majorBidi" w:hAnsiTheme="majorBidi" w:cstheme="majorBidi"/>
          <w:sz w:val="24"/>
          <w:szCs w:val="24"/>
          <w:lang w:val="en-US"/>
        </w:rPr>
        <w:t>p</w:t>
      </w:r>
      <w:r w:rsidR="00E83AE2" w:rsidRPr="00D806D9">
        <w:rPr>
          <w:rFonts w:asciiTheme="majorBidi" w:hAnsiTheme="majorBidi" w:cstheme="majorBidi"/>
          <w:sz w:val="24"/>
          <w:szCs w:val="24"/>
          <w:lang w:val="en-US"/>
        </w:rPr>
        <w:t>ast year is influenced by drivers that are both endogenous and exogenous to the system.</w:t>
      </w:r>
    </w:p>
    <w:p w14:paraId="40FAADB0" w14:textId="061EC9E3" w:rsidR="00FA4994" w:rsidRPr="00D806D9" w:rsidRDefault="00FA4994" w:rsidP="00D806D9">
      <w:pPr>
        <w:spacing w:after="0" w:line="480" w:lineRule="auto"/>
        <w:ind w:firstLine="708"/>
        <w:rPr>
          <w:rFonts w:asciiTheme="majorBidi" w:hAnsiTheme="majorBidi" w:cstheme="majorBidi"/>
          <w:b/>
          <w:bCs/>
          <w:sz w:val="24"/>
          <w:szCs w:val="24"/>
          <w:lang w:val="en-US"/>
        </w:rPr>
      </w:pPr>
    </w:p>
    <w:p w14:paraId="2E03D43A" w14:textId="184BACBC" w:rsidR="00E83AE2" w:rsidRPr="00D806D9" w:rsidRDefault="00E83AE2" w:rsidP="00D806D9">
      <w:pPr>
        <w:spacing w:after="0" w:line="480" w:lineRule="auto"/>
        <w:ind w:firstLine="708"/>
        <w:rPr>
          <w:rFonts w:asciiTheme="majorBidi" w:hAnsiTheme="majorBidi" w:cstheme="majorBidi"/>
          <w:b/>
          <w:bCs/>
          <w:sz w:val="24"/>
          <w:szCs w:val="24"/>
          <w:lang w:val="en-US"/>
        </w:rPr>
      </w:pPr>
      <w:r w:rsidRPr="00D806D9">
        <w:rPr>
          <w:rFonts w:asciiTheme="majorBidi" w:hAnsiTheme="majorBidi" w:cstheme="majorBidi"/>
          <w:b/>
          <w:bCs/>
          <w:sz w:val="24"/>
          <w:szCs w:val="24"/>
          <w:lang w:val="en-US"/>
        </w:rPr>
        <w:t>3.2.1</w:t>
      </w:r>
      <w:r w:rsidR="00C30A3B" w:rsidRPr="00D806D9">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ab/>
        <w:t xml:space="preserve">Endogenous </w:t>
      </w:r>
      <w:r w:rsidR="001C2413" w:rsidRPr="00D806D9">
        <w:rPr>
          <w:rFonts w:asciiTheme="majorBidi" w:hAnsiTheme="majorBidi" w:cstheme="majorBidi"/>
          <w:b/>
          <w:bCs/>
          <w:sz w:val="24"/>
          <w:szCs w:val="24"/>
          <w:lang w:val="en-US"/>
        </w:rPr>
        <w:t>f</w:t>
      </w:r>
      <w:r w:rsidRPr="00D806D9">
        <w:rPr>
          <w:rFonts w:asciiTheme="majorBidi" w:hAnsiTheme="majorBidi" w:cstheme="majorBidi"/>
          <w:b/>
          <w:bCs/>
          <w:sz w:val="24"/>
          <w:szCs w:val="24"/>
          <w:lang w:val="en-US"/>
        </w:rPr>
        <w:t>actors</w:t>
      </w:r>
    </w:p>
    <w:p w14:paraId="63F191C1" w14:textId="5EF00C59" w:rsidR="00E83AE2" w:rsidRPr="00D806D9" w:rsidRDefault="00E83AE2" w:rsidP="00D806D9">
      <w:pPr>
        <w:spacing w:after="0" w:line="480" w:lineRule="auto"/>
        <w:rPr>
          <w:rFonts w:asciiTheme="majorBidi" w:hAnsiTheme="majorBidi" w:cstheme="majorBidi"/>
          <w:sz w:val="24"/>
          <w:szCs w:val="24"/>
          <w:lang w:val="en-US"/>
        </w:rPr>
      </w:pPr>
    </w:p>
    <w:p w14:paraId="304A7EA9" w14:textId="797832BA"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On one hand, </w:t>
      </w:r>
      <w:r w:rsidR="001A10AC">
        <w:rPr>
          <w:rFonts w:asciiTheme="majorBidi" w:hAnsiTheme="majorBidi" w:cstheme="majorBidi"/>
          <w:sz w:val="24"/>
          <w:szCs w:val="24"/>
          <w:lang w:val="en-US"/>
        </w:rPr>
        <w:t>several</w:t>
      </w:r>
      <w:r w:rsidRPr="00D806D9">
        <w:rPr>
          <w:rFonts w:asciiTheme="majorBidi" w:hAnsiTheme="majorBidi" w:cstheme="majorBidi"/>
          <w:sz w:val="24"/>
          <w:szCs w:val="24"/>
          <w:lang w:val="en-US"/>
        </w:rPr>
        <w:t xml:space="preserve"> endogenous reasons have been identified </w:t>
      </w:r>
      <w:r w:rsidR="00BD3F6D">
        <w:rPr>
          <w:rFonts w:asciiTheme="majorBidi" w:hAnsiTheme="majorBidi" w:cstheme="majorBidi"/>
          <w:sz w:val="24"/>
          <w:szCs w:val="24"/>
          <w:lang w:val="en-US"/>
        </w:rPr>
        <w:t>that contribute</w:t>
      </w:r>
      <w:r w:rsidRPr="00D806D9">
        <w:rPr>
          <w:rFonts w:asciiTheme="majorBidi" w:hAnsiTheme="majorBidi" w:cstheme="majorBidi"/>
          <w:sz w:val="24"/>
          <w:szCs w:val="24"/>
          <w:lang w:val="en-US"/>
        </w:rPr>
        <w:t xml:space="preserve"> to </w:t>
      </w:r>
      <w:r w:rsidR="001A10AC">
        <w:rPr>
          <w:rFonts w:asciiTheme="majorBidi" w:hAnsiTheme="majorBidi" w:cstheme="majorBidi"/>
          <w:sz w:val="24"/>
          <w:szCs w:val="24"/>
          <w:lang w:val="en-US"/>
        </w:rPr>
        <w:t>explaining</w:t>
      </w:r>
      <w:r w:rsidRPr="00D806D9">
        <w:rPr>
          <w:rFonts w:asciiTheme="majorBidi" w:hAnsiTheme="majorBidi" w:cstheme="majorBidi"/>
          <w:sz w:val="24"/>
          <w:szCs w:val="24"/>
          <w:lang w:val="en-US"/>
        </w:rPr>
        <w:t xml:space="preserve"> these phenomena. First, the </w:t>
      </w:r>
      <w:r w:rsidR="00BD3F6D">
        <w:rPr>
          <w:rFonts w:asciiTheme="majorBidi" w:hAnsiTheme="majorBidi" w:cstheme="majorBidi"/>
          <w:sz w:val="24"/>
          <w:szCs w:val="24"/>
          <w:lang w:val="en-US"/>
        </w:rPr>
        <w:t>im</w:t>
      </w:r>
      <w:r w:rsidRPr="00D806D9">
        <w:rPr>
          <w:rFonts w:asciiTheme="majorBidi" w:hAnsiTheme="majorBidi" w:cstheme="majorBidi"/>
          <w:sz w:val="24"/>
          <w:szCs w:val="24"/>
          <w:lang w:val="en-US"/>
        </w:rPr>
        <w:t xml:space="preserve">balance between demand and supply </w:t>
      </w:r>
      <w:r w:rsidR="001A10AC">
        <w:rPr>
          <w:rFonts w:asciiTheme="majorBidi" w:hAnsiTheme="majorBidi" w:cstheme="majorBidi"/>
          <w:sz w:val="24"/>
          <w:szCs w:val="24"/>
          <w:lang w:val="en-US"/>
        </w:rPr>
        <w:t>has</w:t>
      </w:r>
      <w:r w:rsidRPr="00D806D9">
        <w:rPr>
          <w:rFonts w:asciiTheme="majorBidi" w:hAnsiTheme="majorBidi" w:cstheme="majorBidi"/>
          <w:sz w:val="24"/>
          <w:szCs w:val="24"/>
          <w:lang w:val="en-US"/>
        </w:rPr>
        <w:t xml:space="preserve"> influenced negatively price formation, </w:t>
      </w:r>
      <w:r w:rsidR="001E2136" w:rsidRPr="00D806D9">
        <w:rPr>
          <w:rFonts w:asciiTheme="majorBidi" w:hAnsiTheme="majorBidi" w:cstheme="majorBidi"/>
          <w:sz w:val="24"/>
          <w:szCs w:val="24"/>
          <w:lang w:val="en-US"/>
        </w:rPr>
        <w:t xml:space="preserve">with </w:t>
      </w:r>
      <w:r w:rsidRPr="00D806D9">
        <w:rPr>
          <w:rFonts w:asciiTheme="majorBidi" w:hAnsiTheme="majorBidi" w:cstheme="majorBidi"/>
          <w:sz w:val="24"/>
          <w:szCs w:val="24"/>
          <w:lang w:val="en-US"/>
        </w:rPr>
        <w:t xml:space="preserve">institutional design deficiencies and the governance issues and scope definition seen previously contributing to </w:t>
      </w:r>
      <w:r w:rsidR="001E2136" w:rsidRPr="00D806D9">
        <w:rPr>
          <w:rFonts w:asciiTheme="majorBidi" w:hAnsiTheme="majorBidi" w:cstheme="majorBidi"/>
          <w:sz w:val="24"/>
          <w:szCs w:val="24"/>
          <w:lang w:val="en-US"/>
        </w:rPr>
        <w:t>this</w:t>
      </w:r>
      <w:r w:rsidRPr="00D806D9">
        <w:rPr>
          <w:rFonts w:asciiTheme="majorBidi" w:hAnsiTheme="majorBidi" w:cstheme="majorBidi"/>
          <w:sz w:val="24"/>
          <w:szCs w:val="24"/>
          <w:lang w:val="en-US"/>
        </w:rPr>
        <w:t>. It has also been shown that “</w:t>
      </w:r>
      <w:r w:rsidR="001A10AC">
        <w:rPr>
          <w:rFonts w:asciiTheme="majorBidi" w:hAnsiTheme="majorBidi" w:cstheme="majorBidi"/>
          <w:i/>
          <w:iCs/>
          <w:sz w:val="24"/>
          <w:szCs w:val="24"/>
          <w:lang w:val="en-US"/>
        </w:rPr>
        <w:t>ex-ante</w:t>
      </w:r>
      <w:r w:rsidRPr="00D806D9">
        <w:rPr>
          <w:rFonts w:asciiTheme="majorBidi" w:hAnsiTheme="majorBidi" w:cstheme="majorBidi"/>
          <w:sz w:val="24"/>
          <w:szCs w:val="24"/>
          <w:lang w:val="en-US"/>
        </w:rPr>
        <w:t xml:space="preserve"> expectations tend to overestimate the constraint” accounting </w:t>
      </w:r>
      <w:r w:rsidRPr="00D806D9">
        <w:rPr>
          <w:rFonts w:asciiTheme="majorBidi" w:hAnsiTheme="majorBidi" w:cstheme="majorBidi"/>
          <w:sz w:val="24"/>
          <w:szCs w:val="24"/>
          <w:lang w:val="en-US"/>
        </w:rPr>
        <w:lastRenderedPageBreak/>
        <w:t xml:space="preserve">further for excessive allowances emissions (De </w:t>
      </w:r>
      <w:proofErr w:type="spellStart"/>
      <w:r w:rsidRPr="00D806D9">
        <w:rPr>
          <w:rFonts w:asciiTheme="majorBidi" w:hAnsiTheme="majorBidi" w:cstheme="majorBidi"/>
          <w:sz w:val="24"/>
          <w:szCs w:val="24"/>
          <w:lang w:val="en-US"/>
        </w:rPr>
        <w:t>Perthuis</w:t>
      </w:r>
      <w:proofErr w:type="spellEnd"/>
      <w:r w:rsidRPr="00D806D9">
        <w:rPr>
          <w:rFonts w:asciiTheme="majorBidi" w:hAnsiTheme="majorBidi" w:cstheme="majorBidi"/>
          <w:sz w:val="24"/>
          <w:szCs w:val="24"/>
          <w:lang w:val="en-US"/>
        </w:rPr>
        <w:t xml:space="preserve"> &amp; </w:t>
      </w:r>
      <w:proofErr w:type="spellStart"/>
      <w:r w:rsidRPr="00D806D9">
        <w:rPr>
          <w:rFonts w:asciiTheme="majorBidi" w:hAnsiTheme="majorBidi" w:cstheme="majorBidi"/>
          <w:sz w:val="24"/>
          <w:szCs w:val="24"/>
          <w:lang w:val="en-US"/>
        </w:rPr>
        <w:t>Trotignon</w:t>
      </w:r>
      <w:proofErr w:type="spellEnd"/>
      <w:r w:rsidRPr="00D806D9">
        <w:rPr>
          <w:rFonts w:asciiTheme="majorBidi" w:hAnsiTheme="majorBidi" w:cstheme="majorBidi"/>
          <w:sz w:val="24"/>
          <w:szCs w:val="24"/>
          <w:lang w:val="en-US"/>
        </w:rPr>
        <w:t>, 2014). Moreover, the large import of offsets at the end of phase 2 pushed the price down (</w:t>
      </w:r>
      <w:proofErr w:type="spellStart"/>
      <w:r w:rsidRPr="00D806D9">
        <w:rPr>
          <w:rFonts w:asciiTheme="majorBidi" w:hAnsiTheme="majorBidi" w:cstheme="majorBidi"/>
          <w:sz w:val="24"/>
          <w:szCs w:val="24"/>
          <w:lang w:val="en-US"/>
        </w:rPr>
        <w:t>Borghesi</w:t>
      </w:r>
      <w:proofErr w:type="spellEnd"/>
      <w:r w:rsidRPr="00D806D9">
        <w:rPr>
          <w:rFonts w:asciiTheme="majorBidi" w:hAnsiTheme="majorBidi" w:cstheme="majorBidi"/>
          <w:sz w:val="24"/>
          <w:szCs w:val="24"/>
          <w:lang w:val="en-US"/>
        </w:rPr>
        <w:t xml:space="preserve"> &amp; </w:t>
      </w:r>
      <w:proofErr w:type="spellStart"/>
      <w:r w:rsidRPr="00D806D9">
        <w:rPr>
          <w:rFonts w:asciiTheme="majorBidi" w:hAnsiTheme="majorBidi" w:cstheme="majorBidi"/>
          <w:sz w:val="24"/>
          <w:szCs w:val="24"/>
          <w:lang w:val="en-US"/>
        </w:rPr>
        <w:t>Montini</w:t>
      </w:r>
      <w:proofErr w:type="spellEnd"/>
      <w:r w:rsidRPr="00D806D9">
        <w:rPr>
          <w:rFonts w:asciiTheme="majorBidi" w:hAnsiTheme="majorBidi" w:cstheme="majorBidi"/>
          <w:sz w:val="24"/>
          <w:szCs w:val="24"/>
          <w:lang w:val="en-US"/>
        </w:rPr>
        <w:t xml:space="preserve">, 2016). Second, the regulatory uncertainty related to long-term EU climate </w:t>
      </w:r>
      <w:r w:rsidR="001A10AC">
        <w:rPr>
          <w:rFonts w:asciiTheme="majorBidi" w:hAnsiTheme="majorBidi" w:cstheme="majorBidi"/>
          <w:sz w:val="24"/>
          <w:szCs w:val="24"/>
          <w:lang w:val="en-US"/>
        </w:rPr>
        <w:t>policies</w:t>
      </w:r>
      <w:r w:rsidRPr="00D806D9">
        <w:rPr>
          <w:rFonts w:asciiTheme="majorBidi" w:hAnsiTheme="majorBidi" w:cstheme="majorBidi"/>
          <w:sz w:val="24"/>
          <w:szCs w:val="24"/>
          <w:lang w:val="en-US"/>
        </w:rPr>
        <w:t>, particularly emission targets, also affected the price formation by reducing the demand (</w:t>
      </w:r>
      <w:proofErr w:type="spellStart"/>
      <w:r w:rsidRPr="00D806D9">
        <w:rPr>
          <w:rFonts w:asciiTheme="majorBidi" w:hAnsiTheme="majorBidi" w:cstheme="majorBidi"/>
          <w:sz w:val="24"/>
          <w:szCs w:val="24"/>
          <w:lang w:val="en-US"/>
        </w:rPr>
        <w:t>Egenhofer</w:t>
      </w:r>
      <w:proofErr w:type="spellEnd"/>
      <w:r w:rsidRPr="00D806D9">
        <w:rPr>
          <w:rFonts w:asciiTheme="majorBidi" w:hAnsiTheme="majorBidi" w:cstheme="majorBidi"/>
          <w:sz w:val="24"/>
          <w:szCs w:val="24"/>
          <w:lang w:val="en-US"/>
        </w:rPr>
        <w:t xml:space="preserve"> et al, 2012). Third, the overlap of the EU-ETS with other policies such as renewable support schemes rendered the incentive framework ambiguous (</w:t>
      </w:r>
      <w:bookmarkStart w:id="8" w:name="bau0005"/>
      <w:r w:rsidRPr="00D806D9">
        <w:rPr>
          <w:rFonts w:asciiTheme="majorBidi" w:eastAsia="Times New Roman" w:hAnsiTheme="majorBidi" w:cstheme="majorBidi"/>
          <w:sz w:val="24"/>
          <w:szCs w:val="24"/>
          <w:lang w:val="en-US" w:eastAsia="fr-FR" w:bidi="he-IL"/>
        </w:rPr>
        <w:t>Koch</w:t>
      </w:r>
      <w:bookmarkStart w:id="9" w:name="bau0010"/>
      <w:bookmarkEnd w:id="8"/>
      <w:r w:rsidRPr="00D806D9">
        <w:rPr>
          <w:rFonts w:asciiTheme="majorBidi" w:eastAsia="Times New Roman" w:hAnsiTheme="majorBidi" w:cstheme="majorBidi"/>
          <w:sz w:val="24"/>
          <w:szCs w:val="24"/>
          <w:lang w:val="en-US" w:eastAsia="fr-FR" w:bidi="he-IL"/>
        </w:rPr>
        <w:t xml:space="preserve"> et al., 2014)</w:t>
      </w:r>
      <w:bookmarkEnd w:id="9"/>
      <w:r w:rsidRPr="00D806D9">
        <w:rPr>
          <w:rFonts w:asciiTheme="majorBidi" w:hAnsiTheme="majorBidi" w:cstheme="majorBidi"/>
          <w:sz w:val="24"/>
          <w:szCs w:val="24"/>
          <w:lang w:val="en-US"/>
        </w:rPr>
        <w:t>.</w:t>
      </w:r>
      <w:r w:rsidR="00C25551"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To address the surplus of allowances issued, the back-loading initiative was </w:t>
      </w:r>
      <w:r w:rsidR="00597764" w:rsidRPr="00D806D9">
        <w:rPr>
          <w:rFonts w:asciiTheme="majorBidi" w:hAnsiTheme="majorBidi" w:cstheme="majorBidi"/>
          <w:sz w:val="24"/>
          <w:szCs w:val="24"/>
          <w:lang w:val="en-US"/>
        </w:rPr>
        <w:t xml:space="preserve">introduced by the </w:t>
      </w:r>
      <w:r w:rsidR="00915A3B" w:rsidRPr="00D806D9">
        <w:rPr>
          <w:rFonts w:asciiTheme="majorBidi" w:hAnsiTheme="majorBidi" w:cstheme="majorBidi"/>
          <w:sz w:val="24"/>
          <w:szCs w:val="24"/>
          <w:lang w:val="en-US"/>
        </w:rPr>
        <w:t>EC</w:t>
      </w:r>
      <w:r w:rsidR="00597764" w:rsidRPr="00D806D9">
        <w:rPr>
          <w:rFonts w:asciiTheme="majorBidi" w:hAnsiTheme="majorBidi" w:cstheme="majorBidi"/>
          <w:sz w:val="24"/>
          <w:szCs w:val="24"/>
          <w:lang w:val="en-US"/>
        </w:rPr>
        <w:t xml:space="preserve"> (201</w:t>
      </w:r>
      <w:r w:rsidR="00915A3B" w:rsidRPr="00D806D9">
        <w:rPr>
          <w:rFonts w:asciiTheme="majorBidi" w:hAnsiTheme="majorBidi" w:cstheme="majorBidi"/>
          <w:sz w:val="24"/>
          <w:szCs w:val="24"/>
          <w:lang w:val="en-US"/>
        </w:rPr>
        <w:t>1</w:t>
      </w:r>
      <w:r w:rsidR="00CC1BD6" w:rsidRPr="00D806D9">
        <w:rPr>
          <w:rFonts w:asciiTheme="majorBidi" w:hAnsiTheme="majorBidi" w:cstheme="majorBidi"/>
          <w:sz w:val="24"/>
          <w:szCs w:val="24"/>
          <w:lang w:val="en-US"/>
        </w:rPr>
        <w:t>;</w:t>
      </w:r>
      <w:r w:rsidR="00C44E03" w:rsidRPr="00D806D9">
        <w:rPr>
          <w:rFonts w:asciiTheme="majorBidi" w:hAnsiTheme="majorBidi" w:cstheme="majorBidi"/>
          <w:sz w:val="24"/>
          <w:szCs w:val="24"/>
          <w:lang w:val="en-US"/>
        </w:rPr>
        <w:t xml:space="preserve"> 2014</w:t>
      </w:r>
      <w:r w:rsidR="00597764"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consisting </w:t>
      </w:r>
      <w:r w:rsidR="001A10AC">
        <w:rPr>
          <w:rFonts w:asciiTheme="majorBidi" w:hAnsiTheme="majorBidi" w:cstheme="majorBidi"/>
          <w:sz w:val="24"/>
          <w:szCs w:val="24"/>
          <w:lang w:val="en-US"/>
        </w:rPr>
        <w:t>of</w:t>
      </w:r>
      <w:r w:rsidRPr="00D806D9">
        <w:rPr>
          <w:rFonts w:asciiTheme="majorBidi" w:hAnsiTheme="majorBidi" w:cstheme="majorBidi"/>
          <w:sz w:val="24"/>
          <w:szCs w:val="24"/>
          <w:lang w:val="en-US"/>
        </w:rPr>
        <w:t xml:space="preserve"> deferring the scheduled auctioning of allowances to reestablish a supply and demand balance during phase 3</w:t>
      </w:r>
      <w:r w:rsidR="004A4F8B">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expressing the need for a more permanent solution. </w:t>
      </w:r>
      <w:r w:rsidR="00915A3B" w:rsidRPr="00D806D9">
        <w:rPr>
          <w:rFonts w:asciiTheme="majorBidi" w:hAnsiTheme="majorBidi" w:cstheme="majorBidi"/>
          <w:sz w:val="24"/>
          <w:szCs w:val="24"/>
          <w:lang w:val="en-US"/>
        </w:rPr>
        <w:t xml:space="preserve">Further control </w:t>
      </w:r>
      <w:r w:rsidRPr="00D806D9">
        <w:rPr>
          <w:rFonts w:asciiTheme="majorBidi" w:hAnsiTheme="majorBidi" w:cstheme="majorBidi"/>
          <w:sz w:val="24"/>
          <w:szCs w:val="24"/>
          <w:lang w:val="en-US"/>
        </w:rPr>
        <w:t>was materialized in 2019 with the implementation of the MSR (</w:t>
      </w:r>
      <w:r w:rsidR="00C25551" w:rsidRPr="00D806D9">
        <w:rPr>
          <w:rFonts w:asciiTheme="majorBidi" w:hAnsiTheme="majorBidi" w:cstheme="majorBidi"/>
          <w:sz w:val="24"/>
          <w:szCs w:val="24"/>
          <w:lang w:val="en-US"/>
        </w:rPr>
        <w:t>EPC, 2015</w:t>
      </w:r>
      <w:r w:rsidRPr="00D806D9">
        <w:rPr>
          <w:rFonts w:asciiTheme="majorBidi" w:hAnsiTheme="majorBidi" w:cstheme="majorBidi"/>
          <w:sz w:val="24"/>
          <w:szCs w:val="24"/>
          <w:lang w:val="en-US"/>
        </w:rPr>
        <w:t>)</w:t>
      </w:r>
      <w:r w:rsidR="004A4F8B">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also assumes the role of improving “the system's resilience to major shocks by adjusting the supply of allowances to be auctioned” (EC, n.d.). Reforms </w:t>
      </w:r>
      <w:r w:rsidR="001A10AC">
        <w:rPr>
          <w:rFonts w:asciiTheme="majorBidi" w:hAnsiTheme="majorBidi" w:cstheme="majorBidi"/>
          <w:sz w:val="24"/>
          <w:szCs w:val="24"/>
          <w:lang w:val="en-US"/>
        </w:rPr>
        <w:t xml:space="preserve">were </w:t>
      </w:r>
      <w:r w:rsidRPr="00D806D9">
        <w:rPr>
          <w:rFonts w:asciiTheme="majorBidi" w:hAnsiTheme="majorBidi" w:cstheme="majorBidi"/>
          <w:sz w:val="24"/>
          <w:szCs w:val="24"/>
          <w:lang w:val="en-US"/>
        </w:rPr>
        <w:t>welcomed as providing more visibility and flexibility to the scheme, the EUA price evolution has however been erratic since then, the MSR establishment decision only having a marginal effect on the price.</w:t>
      </w:r>
    </w:p>
    <w:p w14:paraId="34E9F5DB" w14:textId="71527901"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In the context of the Covid recovery, the EC </w:t>
      </w:r>
      <w:r w:rsidR="00AB702A" w:rsidRPr="00D806D9">
        <w:rPr>
          <w:rFonts w:asciiTheme="majorBidi" w:hAnsiTheme="majorBidi" w:cstheme="majorBidi"/>
          <w:sz w:val="24"/>
          <w:szCs w:val="24"/>
          <w:lang w:val="en-US"/>
        </w:rPr>
        <w:t>(2019</w:t>
      </w:r>
      <w:r w:rsidR="000E5647" w:rsidRPr="00D806D9">
        <w:rPr>
          <w:rFonts w:asciiTheme="majorBidi" w:hAnsiTheme="majorBidi" w:cstheme="majorBidi"/>
          <w:sz w:val="24"/>
          <w:szCs w:val="24"/>
          <w:lang w:val="en-US"/>
        </w:rPr>
        <w:t>b</w:t>
      </w:r>
      <w:r w:rsidR="00AB702A"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has </w:t>
      </w:r>
      <w:r w:rsidR="001A10AC">
        <w:rPr>
          <w:rFonts w:asciiTheme="majorBidi" w:hAnsiTheme="majorBidi" w:cstheme="majorBidi"/>
          <w:sz w:val="24"/>
          <w:szCs w:val="24"/>
          <w:lang w:val="en-US"/>
        </w:rPr>
        <w:t>strengthened</w:t>
      </w:r>
      <w:r w:rsidRPr="00D806D9">
        <w:rPr>
          <w:rFonts w:asciiTheme="majorBidi" w:hAnsiTheme="majorBidi" w:cstheme="majorBidi"/>
          <w:sz w:val="24"/>
          <w:szCs w:val="24"/>
          <w:lang w:val="en-US"/>
        </w:rPr>
        <w:t xml:space="preserve"> its climate ambitions after having announced the Green New Deal in December 2019. Including them in its “Fit for 55” </w:t>
      </w:r>
      <w:r w:rsidR="0090048A" w:rsidRPr="00D806D9">
        <w:rPr>
          <w:rFonts w:asciiTheme="majorBidi" w:hAnsiTheme="majorBidi" w:cstheme="majorBidi"/>
          <w:sz w:val="24"/>
          <w:szCs w:val="24"/>
          <w:lang w:val="en-US"/>
        </w:rPr>
        <w:t>(EC, 2021</w:t>
      </w:r>
      <w:r w:rsidR="00B56589" w:rsidRPr="00D806D9">
        <w:rPr>
          <w:rFonts w:asciiTheme="majorBidi" w:hAnsiTheme="majorBidi" w:cstheme="majorBidi"/>
          <w:sz w:val="24"/>
          <w:szCs w:val="24"/>
          <w:lang w:val="en-US"/>
        </w:rPr>
        <w:t>a</w:t>
      </w:r>
      <w:r w:rsidR="0090048A"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legislative proposal package</w:t>
      </w:r>
      <w:r w:rsidR="00931464" w:rsidRPr="00D806D9">
        <w:rPr>
          <w:rFonts w:asciiTheme="majorBidi" w:hAnsiTheme="majorBidi" w:cstheme="majorBidi"/>
          <w:sz w:val="24"/>
          <w:szCs w:val="24"/>
          <w:lang w:val="en-US"/>
        </w:rPr>
        <w:t xml:space="preserve"> announced in July 2021</w:t>
      </w:r>
      <w:r w:rsidRPr="00D806D9">
        <w:rPr>
          <w:rFonts w:asciiTheme="majorBidi" w:hAnsiTheme="majorBidi" w:cstheme="majorBidi"/>
          <w:sz w:val="24"/>
          <w:szCs w:val="24"/>
          <w:lang w:val="en-US"/>
        </w:rPr>
        <w:t>, it aimed at a new EU-ETS reform</w:t>
      </w:r>
      <w:r w:rsidR="00563ED1" w:rsidRPr="00D806D9">
        <w:rPr>
          <w:rFonts w:asciiTheme="majorBidi" w:hAnsiTheme="majorBidi" w:cstheme="majorBidi"/>
          <w:sz w:val="24"/>
          <w:szCs w:val="24"/>
          <w:lang w:val="en-US"/>
        </w:rPr>
        <w:t xml:space="preserve">. This contains different aspects: </w:t>
      </w:r>
      <w:r w:rsidR="001A10AC">
        <w:rPr>
          <w:rFonts w:asciiTheme="majorBidi" w:hAnsiTheme="majorBidi" w:cstheme="majorBidi"/>
          <w:sz w:val="24"/>
          <w:szCs w:val="24"/>
          <w:lang w:val="en-US"/>
        </w:rPr>
        <w:t xml:space="preserve">an </w:t>
      </w:r>
      <w:r w:rsidRPr="00D806D9">
        <w:rPr>
          <w:rFonts w:asciiTheme="majorBidi" w:hAnsiTheme="majorBidi" w:cstheme="majorBidi"/>
          <w:sz w:val="24"/>
          <w:szCs w:val="24"/>
          <w:lang w:val="en-US"/>
        </w:rPr>
        <w:t>increase of the linear reduction factor, adjustments of both the MSR’s intake rules</w:t>
      </w:r>
      <w:r w:rsidR="00563ED1" w:rsidRPr="00D806D9">
        <w:rPr>
          <w:rFonts w:asciiTheme="majorBidi" w:hAnsiTheme="majorBidi" w:cstheme="majorBidi"/>
          <w:sz w:val="24"/>
          <w:szCs w:val="24"/>
          <w:lang w:val="en-US"/>
        </w:rPr>
        <w:t xml:space="preserve">, </w:t>
      </w:r>
      <w:r w:rsidR="00761A6C">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Cancellation Mechanism’s threshold</w:t>
      </w:r>
      <w:r w:rsidR="00563ED1" w:rsidRPr="00D806D9">
        <w:rPr>
          <w:rFonts w:asciiTheme="majorBidi" w:hAnsiTheme="majorBidi" w:cstheme="majorBidi"/>
          <w:sz w:val="24"/>
          <w:szCs w:val="24"/>
          <w:lang w:val="en-US"/>
        </w:rPr>
        <w:t>, the phasing out of grandfathering between 2026 and 2035</w:t>
      </w:r>
      <w:r w:rsidR="001A10AC">
        <w:rPr>
          <w:rFonts w:asciiTheme="majorBidi" w:hAnsiTheme="majorBidi" w:cstheme="majorBidi"/>
          <w:sz w:val="24"/>
          <w:szCs w:val="24"/>
          <w:lang w:val="en-US"/>
        </w:rPr>
        <w:t>,</w:t>
      </w:r>
      <w:r w:rsidR="00563ED1" w:rsidRPr="00D806D9">
        <w:rPr>
          <w:rFonts w:asciiTheme="majorBidi" w:hAnsiTheme="majorBidi" w:cstheme="majorBidi"/>
          <w:sz w:val="24"/>
          <w:szCs w:val="24"/>
          <w:lang w:val="en-US"/>
        </w:rPr>
        <w:t xml:space="preserve"> and the creation of an ETS2 covering road transportation and buildings</w:t>
      </w:r>
      <w:r w:rsidRPr="00D806D9">
        <w:rPr>
          <w:rFonts w:asciiTheme="majorBidi" w:hAnsiTheme="majorBidi" w:cstheme="majorBidi"/>
          <w:sz w:val="24"/>
          <w:szCs w:val="24"/>
          <w:lang w:val="en-US"/>
        </w:rPr>
        <w:t xml:space="preserve"> </w:t>
      </w:r>
      <w:r w:rsidR="00563ED1" w:rsidRPr="00D806D9">
        <w:rPr>
          <w:rFonts w:asciiTheme="majorBidi" w:hAnsiTheme="majorBidi" w:cstheme="majorBidi"/>
          <w:sz w:val="24"/>
          <w:szCs w:val="24"/>
          <w:lang w:val="en-US"/>
        </w:rPr>
        <w:t>to be implemented on the same timeline</w:t>
      </w:r>
      <w:r w:rsidRPr="00D806D9">
        <w:rPr>
          <w:rFonts w:asciiTheme="majorBidi" w:hAnsiTheme="majorBidi" w:cstheme="majorBidi"/>
          <w:sz w:val="24"/>
          <w:szCs w:val="24"/>
          <w:lang w:val="en-US"/>
        </w:rPr>
        <w:t>. It aims at increasing predictability, reducing volatility</w:t>
      </w:r>
      <w:r w:rsidR="001A10AC">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would strongly reinforce the overall stringency </w:t>
      </w:r>
      <w:r w:rsidR="001A10AC">
        <w:rPr>
          <w:rFonts w:asciiTheme="majorBidi" w:hAnsiTheme="majorBidi" w:cstheme="majorBidi"/>
          <w:sz w:val="24"/>
          <w:szCs w:val="24"/>
          <w:lang w:val="en-US"/>
        </w:rPr>
        <w:t>of</w:t>
      </w:r>
      <w:r w:rsidRPr="00D806D9">
        <w:rPr>
          <w:rFonts w:asciiTheme="majorBidi" w:hAnsiTheme="majorBidi" w:cstheme="majorBidi"/>
          <w:sz w:val="24"/>
          <w:szCs w:val="24"/>
          <w:lang w:val="en-US"/>
        </w:rPr>
        <w:t xml:space="preserve"> the market. This announcement caused the EUA price to suddenly increase in proportions never seen before. </w:t>
      </w:r>
      <w:proofErr w:type="spellStart"/>
      <w:r w:rsidRPr="00D806D9">
        <w:rPr>
          <w:rFonts w:asciiTheme="majorBidi" w:hAnsiTheme="majorBidi" w:cstheme="majorBidi"/>
          <w:sz w:val="24"/>
          <w:szCs w:val="24"/>
          <w:lang w:val="en-US"/>
        </w:rPr>
        <w:t>Wildgrube</w:t>
      </w:r>
      <w:proofErr w:type="spellEnd"/>
      <w:r w:rsidRPr="00D806D9">
        <w:rPr>
          <w:rFonts w:asciiTheme="majorBidi" w:hAnsiTheme="majorBidi" w:cstheme="majorBidi"/>
          <w:sz w:val="24"/>
          <w:szCs w:val="24"/>
          <w:lang w:val="en-US"/>
        </w:rPr>
        <w:t xml:space="preserve"> (2022) </w:t>
      </w:r>
      <w:r w:rsidRPr="00D806D9">
        <w:rPr>
          <w:rFonts w:asciiTheme="majorBidi" w:hAnsiTheme="majorBidi" w:cstheme="majorBidi"/>
          <w:sz w:val="24"/>
          <w:szCs w:val="24"/>
          <w:lang w:val="en-US"/>
        </w:rPr>
        <w:lastRenderedPageBreak/>
        <w:t xml:space="preserve">identifies this parameter to explain </w:t>
      </w:r>
      <w:r w:rsidR="004A4F8B">
        <w:rPr>
          <w:rFonts w:asciiTheme="majorBidi" w:hAnsiTheme="majorBidi" w:cstheme="majorBidi"/>
          <w:sz w:val="24"/>
          <w:szCs w:val="24"/>
          <w:lang w:val="en-US"/>
        </w:rPr>
        <w:t>more than</w:t>
      </w:r>
      <w:r w:rsidRPr="00D806D9">
        <w:rPr>
          <w:rFonts w:asciiTheme="majorBidi" w:hAnsiTheme="majorBidi" w:cstheme="majorBidi"/>
          <w:sz w:val="24"/>
          <w:szCs w:val="24"/>
          <w:lang w:val="en-US"/>
        </w:rPr>
        <w:t xml:space="preserve"> 95% of the price evolution for 2021, </w:t>
      </w:r>
      <w:r w:rsidR="001A10AC">
        <w:rPr>
          <w:rFonts w:asciiTheme="majorBidi" w:hAnsiTheme="majorBidi" w:cstheme="majorBidi"/>
          <w:sz w:val="24"/>
          <w:szCs w:val="24"/>
          <w:lang w:val="en-US"/>
        </w:rPr>
        <w:t>even though</w:t>
      </w:r>
      <w:r w:rsidRPr="00D806D9">
        <w:rPr>
          <w:rFonts w:asciiTheme="majorBidi" w:hAnsiTheme="majorBidi" w:cstheme="majorBidi"/>
          <w:sz w:val="24"/>
          <w:szCs w:val="24"/>
          <w:lang w:val="en-US"/>
        </w:rPr>
        <w:t xml:space="preserve"> these new rules </w:t>
      </w:r>
      <w:r w:rsidR="004A4F8B">
        <w:rPr>
          <w:rFonts w:asciiTheme="majorBidi" w:hAnsiTheme="majorBidi" w:cstheme="majorBidi"/>
          <w:sz w:val="24"/>
          <w:szCs w:val="24"/>
          <w:lang w:val="en-US"/>
        </w:rPr>
        <w:t>have</w:t>
      </w:r>
      <w:r w:rsidRPr="00D806D9">
        <w:rPr>
          <w:rFonts w:asciiTheme="majorBidi" w:hAnsiTheme="majorBidi" w:cstheme="majorBidi"/>
          <w:sz w:val="24"/>
          <w:szCs w:val="24"/>
          <w:lang w:val="en-US"/>
        </w:rPr>
        <w:t xml:space="preserve"> not even voted </w:t>
      </w:r>
      <w:r w:rsidR="001A10AC">
        <w:rPr>
          <w:rFonts w:asciiTheme="majorBidi" w:hAnsiTheme="majorBidi" w:cstheme="majorBidi"/>
          <w:sz w:val="24"/>
          <w:szCs w:val="24"/>
          <w:lang w:val="en-US"/>
        </w:rPr>
        <w:t xml:space="preserve">on </w:t>
      </w:r>
      <w:r w:rsidRPr="00D806D9">
        <w:rPr>
          <w:rFonts w:asciiTheme="majorBidi" w:hAnsiTheme="majorBidi" w:cstheme="majorBidi"/>
          <w:sz w:val="24"/>
          <w:szCs w:val="24"/>
          <w:lang w:val="en-US"/>
        </w:rPr>
        <w:t xml:space="preserve">yet. Therefore, regulation drives the market supply and </w:t>
      </w:r>
      <w:r w:rsidR="004A4F8B">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regulatory framework’s modifications are anticipated by the agents with larger price effects than the market transactional activity. The regulator is by design a market maker through its structural supply signaling power</w:t>
      </w:r>
      <w:r w:rsidR="001E40D8">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contradicting the very idea of the ETS model as a market disconnected from its fundamentals: regulation. Public authorities </w:t>
      </w:r>
      <w:r w:rsidR="001A10AC">
        <w:rPr>
          <w:rFonts w:asciiTheme="majorBidi" w:hAnsiTheme="majorBidi" w:cstheme="majorBidi"/>
          <w:sz w:val="24"/>
          <w:szCs w:val="24"/>
          <w:lang w:val="en-US"/>
        </w:rPr>
        <w:t>initiate</w:t>
      </w:r>
      <w:r w:rsidRPr="00D806D9">
        <w:rPr>
          <w:rFonts w:asciiTheme="majorBidi" w:hAnsiTheme="majorBidi" w:cstheme="majorBidi"/>
          <w:sz w:val="24"/>
          <w:szCs w:val="24"/>
          <w:lang w:val="en-US"/>
        </w:rPr>
        <w:t xml:space="preserve"> the EU-ETS through enforcement and guidance and interventions should not exceed the optimal level (Sorre</w:t>
      </w:r>
      <w:r w:rsidR="0060555B" w:rsidRPr="00D806D9">
        <w:rPr>
          <w:rFonts w:asciiTheme="majorBidi" w:hAnsiTheme="majorBidi" w:cstheme="majorBidi"/>
          <w:sz w:val="24"/>
          <w:szCs w:val="24"/>
          <w:lang w:val="en-US"/>
        </w:rPr>
        <w:t>l</w:t>
      </w:r>
      <w:r w:rsidRPr="00D806D9">
        <w:rPr>
          <w:rFonts w:asciiTheme="majorBidi" w:hAnsiTheme="majorBidi" w:cstheme="majorBidi"/>
          <w:sz w:val="24"/>
          <w:szCs w:val="24"/>
          <w:lang w:val="en-US"/>
        </w:rPr>
        <w:t xml:space="preserve">l &amp; </w:t>
      </w:r>
      <w:proofErr w:type="spellStart"/>
      <w:r w:rsidRPr="00D806D9">
        <w:rPr>
          <w:rFonts w:asciiTheme="majorBidi" w:hAnsiTheme="majorBidi" w:cstheme="majorBidi"/>
          <w:sz w:val="24"/>
          <w:szCs w:val="24"/>
          <w:lang w:val="en-US"/>
        </w:rPr>
        <w:t>Skea</w:t>
      </w:r>
      <w:proofErr w:type="spellEnd"/>
      <w:r w:rsidRPr="00D806D9">
        <w:rPr>
          <w:rFonts w:asciiTheme="majorBidi" w:hAnsiTheme="majorBidi" w:cstheme="majorBidi"/>
          <w:sz w:val="24"/>
          <w:szCs w:val="24"/>
          <w:lang w:val="en-US"/>
        </w:rPr>
        <w:t xml:space="preserve">, 1999). However, there is a trade-off between predictability and reactivity: the first </w:t>
      </w:r>
      <w:r w:rsidR="00E92832">
        <w:rPr>
          <w:rFonts w:asciiTheme="majorBidi" w:hAnsiTheme="majorBidi" w:cstheme="majorBidi"/>
          <w:sz w:val="24"/>
          <w:szCs w:val="24"/>
          <w:lang w:val="en-US"/>
        </w:rPr>
        <w:t xml:space="preserve">is </w:t>
      </w:r>
      <w:r w:rsidRPr="00D806D9">
        <w:rPr>
          <w:rFonts w:asciiTheme="majorBidi" w:hAnsiTheme="majorBidi" w:cstheme="majorBidi"/>
          <w:sz w:val="24"/>
          <w:szCs w:val="24"/>
          <w:lang w:val="en-US"/>
        </w:rPr>
        <w:t xml:space="preserve">designed within the regulation and </w:t>
      </w:r>
      <w:r w:rsidR="00E92832">
        <w:rPr>
          <w:rFonts w:asciiTheme="majorBidi" w:hAnsiTheme="majorBidi" w:cstheme="majorBidi"/>
          <w:sz w:val="24"/>
          <w:szCs w:val="24"/>
          <w:lang w:val="en-US"/>
        </w:rPr>
        <w:t>aims</w:t>
      </w:r>
      <w:r w:rsidRPr="00D806D9">
        <w:rPr>
          <w:rFonts w:asciiTheme="majorBidi" w:hAnsiTheme="majorBidi" w:cstheme="majorBidi"/>
          <w:sz w:val="24"/>
          <w:szCs w:val="24"/>
          <w:lang w:val="en-US"/>
        </w:rPr>
        <w:t xml:space="preserve"> at substituting the economic dynamic of the market coordination, </w:t>
      </w:r>
      <w:r w:rsidR="00E92832">
        <w:rPr>
          <w:rFonts w:asciiTheme="majorBidi" w:hAnsiTheme="majorBidi" w:cstheme="majorBidi"/>
          <w:sz w:val="24"/>
          <w:szCs w:val="24"/>
          <w:lang w:val="en-US"/>
        </w:rPr>
        <w:t xml:space="preserve">and </w:t>
      </w:r>
      <w:r w:rsidRPr="00D806D9">
        <w:rPr>
          <w:rFonts w:asciiTheme="majorBidi" w:hAnsiTheme="majorBidi" w:cstheme="majorBidi"/>
          <w:sz w:val="24"/>
          <w:szCs w:val="24"/>
          <w:lang w:val="en-US"/>
        </w:rPr>
        <w:t xml:space="preserve">the second </w:t>
      </w:r>
      <w:r w:rsidR="00E92832">
        <w:rPr>
          <w:rFonts w:asciiTheme="majorBidi" w:hAnsiTheme="majorBidi" w:cstheme="majorBidi"/>
          <w:sz w:val="24"/>
          <w:szCs w:val="24"/>
          <w:lang w:val="en-US"/>
        </w:rPr>
        <w:t xml:space="preserve">is </w:t>
      </w:r>
      <w:r w:rsidR="001E40D8">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 xml:space="preserve">underlying price formation’s determinants, especially exogenous ones. Despite the affirmation of the EC, the MSR’s objective to “improves the system's resilience to major shocks” and its operations based solely on pre-defined rules leaving “no discretion to the Commission or Member States” (EC, n.d.) seem strangely misplaced in the case of a shock as it could indeed require specific interventions. Further, the EC </w:t>
      </w:r>
      <w:r w:rsidR="00E92832">
        <w:rPr>
          <w:rFonts w:asciiTheme="majorBidi" w:hAnsiTheme="majorBidi" w:cstheme="majorBidi"/>
          <w:sz w:val="24"/>
          <w:szCs w:val="24"/>
          <w:lang w:val="en-US"/>
        </w:rPr>
        <w:t>can</w:t>
      </w:r>
      <w:r w:rsidR="001E40D8" w:rsidRPr="001E40D8">
        <w:rPr>
          <w:rFonts w:asciiTheme="majorBidi" w:hAnsiTheme="majorBidi" w:cstheme="majorBidi"/>
          <w:sz w:val="24"/>
          <w:szCs w:val="24"/>
          <w:lang w:val="en-US"/>
        </w:rPr>
        <w:t xml:space="preserve"> </w:t>
      </w:r>
      <w:r w:rsidR="001E40D8" w:rsidRPr="00D806D9">
        <w:rPr>
          <w:rFonts w:asciiTheme="majorBidi" w:hAnsiTheme="majorBidi" w:cstheme="majorBidi"/>
          <w:sz w:val="24"/>
          <w:szCs w:val="24"/>
          <w:lang w:val="en-US"/>
        </w:rPr>
        <w:t>always</w:t>
      </w:r>
      <w:r w:rsidRPr="00D806D9">
        <w:rPr>
          <w:rFonts w:asciiTheme="majorBidi" w:hAnsiTheme="majorBidi" w:cstheme="majorBidi"/>
          <w:sz w:val="24"/>
          <w:szCs w:val="24"/>
          <w:lang w:val="en-US"/>
        </w:rPr>
        <w:t xml:space="preserve"> modify these rules and/or the scope/</w:t>
      </w:r>
      <w:r w:rsidR="00E92832">
        <w:rPr>
          <w:rFonts w:asciiTheme="majorBidi" w:hAnsiTheme="majorBidi" w:cstheme="majorBidi"/>
          <w:sz w:val="24"/>
          <w:szCs w:val="24"/>
          <w:lang w:val="en-US"/>
        </w:rPr>
        <w:t>extent</w:t>
      </w:r>
      <w:r w:rsidRPr="00D806D9">
        <w:rPr>
          <w:rFonts w:asciiTheme="majorBidi" w:hAnsiTheme="majorBidi" w:cstheme="majorBidi"/>
          <w:sz w:val="24"/>
          <w:szCs w:val="24"/>
          <w:lang w:val="en-US"/>
        </w:rPr>
        <w:t xml:space="preserve"> of their application through legislation. Rules cannot resolve the intrinsic risk regulation bears. On top of </w:t>
      </w:r>
      <w:r w:rsidR="00E92832">
        <w:rPr>
          <w:rFonts w:asciiTheme="majorBidi" w:hAnsiTheme="majorBidi" w:cstheme="majorBidi"/>
          <w:sz w:val="24"/>
          <w:szCs w:val="24"/>
          <w:lang w:val="en-US"/>
        </w:rPr>
        <w:t>these</w:t>
      </w:r>
      <w:r w:rsidRPr="00D806D9">
        <w:rPr>
          <w:rFonts w:asciiTheme="majorBidi" w:hAnsiTheme="majorBidi" w:cstheme="majorBidi"/>
          <w:sz w:val="24"/>
          <w:szCs w:val="24"/>
          <w:lang w:val="en-US"/>
        </w:rPr>
        <w:t xml:space="preserve"> endogenous dynamics, the EU-ETS is influenced by fluctuations and trends coming from the macrolevel.</w:t>
      </w:r>
    </w:p>
    <w:p w14:paraId="0E89B1F2" w14:textId="77777777" w:rsidR="00E83AE2" w:rsidRPr="00D806D9" w:rsidRDefault="00E83AE2" w:rsidP="00D806D9">
      <w:pPr>
        <w:spacing w:after="0" w:line="480" w:lineRule="auto"/>
        <w:jc w:val="both"/>
        <w:rPr>
          <w:rFonts w:asciiTheme="majorBidi" w:hAnsiTheme="majorBidi" w:cstheme="majorBidi"/>
          <w:sz w:val="24"/>
          <w:szCs w:val="24"/>
          <w:lang w:val="en-US"/>
        </w:rPr>
      </w:pPr>
    </w:p>
    <w:p w14:paraId="537C4D28" w14:textId="484336BB" w:rsidR="00E83AE2" w:rsidRPr="00D806D9" w:rsidRDefault="00E83AE2" w:rsidP="00D806D9">
      <w:pPr>
        <w:spacing w:after="0" w:line="480" w:lineRule="auto"/>
        <w:ind w:firstLine="708"/>
        <w:rPr>
          <w:rFonts w:asciiTheme="majorBidi" w:hAnsiTheme="majorBidi" w:cstheme="majorBidi"/>
          <w:b/>
          <w:bCs/>
          <w:sz w:val="24"/>
          <w:szCs w:val="24"/>
          <w:lang w:val="en-US"/>
        </w:rPr>
      </w:pPr>
      <w:r w:rsidRPr="00D806D9">
        <w:rPr>
          <w:rFonts w:asciiTheme="majorBidi" w:hAnsiTheme="majorBidi" w:cstheme="majorBidi"/>
          <w:b/>
          <w:bCs/>
          <w:sz w:val="24"/>
          <w:szCs w:val="24"/>
          <w:lang w:val="en-US"/>
        </w:rPr>
        <w:t>3.2.2</w:t>
      </w:r>
      <w:r w:rsidR="00C30A3B" w:rsidRPr="00D806D9">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ab/>
        <w:t xml:space="preserve">Exogenous </w:t>
      </w:r>
      <w:r w:rsidR="001C2413" w:rsidRPr="00D806D9">
        <w:rPr>
          <w:rFonts w:asciiTheme="majorBidi" w:hAnsiTheme="majorBidi" w:cstheme="majorBidi"/>
          <w:b/>
          <w:bCs/>
          <w:sz w:val="24"/>
          <w:szCs w:val="24"/>
          <w:lang w:val="en-US"/>
        </w:rPr>
        <w:t>f</w:t>
      </w:r>
      <w:r w:rsidRPr="00D806D9">
        <w:rPr>
          <w:rFonts w:asciiTheme="majorBidi" w:hAnsiTheme="majorBidi" w:cstheme="majorBidi"/>
          <w:b/>
          <w:bCs/>
          <w:sz w:val="24"/>
          <w:szCs w:val="24"/>
          <w:lang w:val="en-US"/>
        </w:rPr>
        <w:t>actors</w:t>
      </w:r>
    </w:p>
    <w:p w14:paraId="62A8D2DE" w14:textId="77777777" w:rsidR="00E83AE2" w:rsidRPr="00D806D9" w:rsidRDefault="00E83AE2" w:rsidP="00D806D9">
      <w:pPr>
        <w:spacing w:after="0" w:line="480" w:lineRule="auto"/>
        <w:jc w:val="both"/>
        <w:rPr>
          <w:rFonts w:asciiTheme="majorBidi" w:hAnsiTheme="majorBidi" w:cstheme="majorBidi"/>
          <w:sz w:val="24"/>
          <w:szCs w:val="24"/>
          <w:lang w:val="en-US"/>
        </w:rPr>
      </w:pPr>
    </w:p>
    <w:p w14:paraId="01AE789A" w14:textId="0F13F595"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On the other hand, some exogenous factors have been mentioned as influencing the EUA price evolution. First, the effect of the 2008-09 economic and financial crisis and the recession if provoked has been well established to explain its fall (Koch et al. 2014). This situation could reiterate with the appearance of a new recession. Second, </w:t>
      </w:r>
      <w:r w:rsidRPr="00D806D9">
        <w:rPr>
          <w:rFonts w:asciiTheme="majorBidi" w:hAnsiTheme="majorBidi" w:cstheme="majorBidi"/>
          <w:sz w:val="24"/>
          <w:szCs w:val="24"/>
          <w:lang w:val="en-US"/>
        </w:rPr>
        <w:lastRenderedPageBreak/>
        <w:t xml:space="preserve">Fields and </w:t>
      </w:r>
      <w:proofErr w:type="spellStart"/>
      <w:r w:rsidRPr="00D806D9">
        <w:rPr>
          <w:rFonts w:asciiTheme="majorBidi" w:hAnsiTheme="majorBidi" w:cstheme="majorBidi"/>
          <w:sz w:val="24"/>
          <w:szCs w:val="24"/>
          <w:lang w:val="en-US"/>
        </w:rPr>
        <w:t>Lindequist</w:t>
      </w:r>
      <w:proofErr w:type="spellEnd"/>
      <w:r w:rsidRPr="00D806D9">
        <w:rPr>
          <w:rFonts w:asciiTheme="majorBidi" w:hAnsiTheme="majorBidi" w:cstheme="majorBidi"/>
          <w:sz w:val="24"/>
          <w:szCs w:val="24"/>
          <w:lang w:val="en-US"/>
        </w:rPr>
        <w:t xml:space="preserve"> (2022) have highlighted regulatory risk spillovers as t</w:t>
      </w:r>
      <w:r w:rsidR="00214913" w:rsidRPr="00D806D9">
        <w:rPr>
          <w:rFonts w:asciiTheme="majorBidi" w:hAnsiTheme="majorBidi" w:cstheme="majorBidi"/>
          <w:sz w:val="24"/>
          <w:szCs w:val="24"/>
          <w:lang w:val="en-US"/>
        </w:rPr>
        <w:t xml:space="preserve">he EUA </w:t>
      </w:r>
      <w:r w:rsidRPr="00D806D9">
        <w:rPr>
          <w:rFonts w:asciiTheme="majorBidi" w:hAnsiTheme="majorBidi" w:cstheme="majorBidi"/>
          <w:sz w:val="24"/>
          <w:szCs w:val="24"/>
          <w:lang w:val="en-US"/>
        </w:rPr>
        <w:t xml:space="preserve">price seems also affected by US climate policy announcements. Third, a sound price trend correlation with fossil fuels energy markets has been demonstrated, </w:t>
      </w:r>
      <w:proofErr w:type="spellStart"/>
      <w:r w:rsidRPr="00D806D9">
        <w:rPr>
          <w:rFonts w:asciiTheme="majorBidi" w:hAnsiTheme="majorBidi" w:cstheme="majorBidi"/>
          <w:sz w:val="24"/>
          <w:szCs w:val="24"/>
          <w:lang w:val="en-US"/>
        </w:rPr>
        <w:t>Lovcha</w:t>
      </w:r>
      <w:proofErr w:type="spellEnd"/>
      <w:r w:rsidRPr="00D806D9">
        <w:rPr>
          <w:rFonts w:asciiTheme="majorBidi" w:hAnsiTheme="majorBidi" w:cstheme="majorBidi"/>
          <w:sz w:val="24"/>
          <w:szCs w:val="24"/>
          <w:lang w:val="en-US"/>
        </w:rPr>
        <w:t xml:space="preserve"> et al. (2022) </w:t>
      </w:r>
      <w:r w:rsidR="00A06060" w:rsidRPr="00D806D9">
        <w:rPr>
          <w:rFonts w:asciiTheme="majorBidi" w:hAnsiTheme="majorBidi" w:cstheme="majorBidi"/>
          <w:sz w:val="24"/>
          <w:szCs w:val="24"/>
          <w:lang w:val="en-US"/>
        </w:rPr>
        <w:t>evaluating</w:t>
      </w:r>
      <w:r w:rsidRPr="00D806D9">
        <w:rPr>
          <w:rFonts w:asciiTheme="majorBidi" w:hAnsiTheme="majorBidi" w:cstheme="majorBidi"/>
          <w:sz w:val="24"/>
          <w:szCs w:val="24"/>
          <w:lang w:val="en-US"/>
        </w:rPr>
        <w:t xml:space="preserve"> an on average 65% </w:t>
      </w:r>
      <w:r w:rsidR="00A06060" w:rsidRPr="00D806D9">
        <w:rPr>
          <w:rFonts w:asciiTheme="majorBidi" w:hAnsiTheme="majorBidi" w:cstheme="majorBidi"/>
          <w:sz w:val="24"/>
          <w:szCs w:val="24"/>
          <w:lang w:val="en-US"/>
        </w:rPr>
        <w:t>positive linkage</w:t>
      </w:r>
      <w:r w:rsidRPr="00D806D9">
        <w:rPr>
          <w:rFonts w:asciiTheme="majorBidi" w:hAnsiTheme="majorBidi" w:cstheme="majorBidi"/>
          <w:sz w:val="24"/>
          <w:szCs w:val="24"/>
          <w:lang w:val="en-US"/>
        </w:rPr>
        <w:t xml:space="preserve"> between the energy markets and EUA price fluctuation between 2008 and 2018. They also suggest</w:t>
      </w:r>
      <w:r w:rsidR="00A06060" w:rsidRPr="00D806D9">
        <w:rPr>
          <w:rFonts w:asciiTheme="majorBidi" w:hAnsiTheme="majorBidi" w:cstheme="majorBidi"/>
          <w:sz w:val="24"/>
          <w:szCs w:val="24"/>
          <w:lang w:val="en-US"/>
        </w:rPr>
        <w:t>ed</w:t>
      </w:r>
      <w:r w:rsidRPr="00D806D9">
        <w:rPr>
          <w:rFonts w:asciiTheme="majorBidi" w:hAnsiTheme="majorBidi" w:cstheme="majorBidi"/>
          <w:sz w:val="24"/>
          <w:szCs w:val="24"/>
          <w:lang w:val="en-US"/>
        </w:rPr>
        <w:t xml:space="preserve"> that the main drivers of uncertainty evolved from economic activity and gas hub prices to oil and coal over the period, concluding that the EU-ETS has started to operate properly, the ways and </w:t>
      </w:r>
      <w:r w:rsidR="00E92832">
        <w:rPr>
          <w:rFonts w:asciiTheme="majorBidi" w:hAnsiTheme="majorBidi" w:cstheme="majorBidi"/>
          <w:sz w:val="24"/>
          <w:szCs w:val="24"/>
          <w:lang w:val="en-US"/>
        </w:rPr>
        <w:t>extents</w:t>
      </w:r>
      <w:r w:rsidRPr="00D806D9">
        <w:rPr>
          <w:rFonts w:asciiTheme="majorBidi" w:hAnsiTheme="majorBidi" w:cstheme="majorBidi"/>
          <w:sz w:val="24"/>
          <w:szCs w:val="24"/>
          <w:lang w:val="en-US"/>
        </w:rPr>
        <w:t xml:space="preserve"> to which the information is transmitted from energy markets to the EU-ETS not being established. Moreover, Dai et al. (2021) find an interplay between carbon and energy markets during higher-moment orders</w:t>
      </w:r>
      <w:r w:rsidR="00645DD8">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enhances </w:t>
      </w:r>
      <w:r w:rsidR="00E92832">
        <w:rPr>
          <w:rFonts w:asciiTheme="majorBidi" w:hAnsiTheme="majorBidi" w:cstheme="majorBidi"/>
          <w:sz w:val="24"/>
          <w:szCs w:val="24"/>
          <w:lang w:val="en-US"/>
        </w:rPr>
        <w:t xml:space="preserve">a </w:t>
      </w:r>
      <w:r w:rsidRPr="00D806D9">
        <w:rPr>
          <w:rFonts w:asciiTheme="majorBidi" w:hAnsiTheme="majorBidi" w:cstheme="majorBidi"/>
          <w:sz w:val="24"/>
          <w:szCs w:val="24"/>
          <w:lang w:val="en-US"/>
        </w:rPr>
        <w:t>bullish market.</w:t>
      </w:r>
    </w:p>
    <w:p w14:paraId="1D555948" w14:textId="0BC11199"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If this linkage is intuitive</w:t>
      </w:r>
      <w:r w:rsidR="00645DD8">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as the EU-ETS is supposed to deter fossil </w:t>
      </w:r>
      <w:r w:rsidR="00E92832">
        <w:rPr>
          <w:rFonts w:asciiTheme="majorBidi" w:hAnsiTheme="majorBidi" w:cstheme="majorBidi"/>
          <w:sz w:val="24"/>
          <w:szCs w:val="24"/>
          <w:lang w:val="en-US"/>
        </w:rPr>
        <w:t>fuel</w:t>
      </w:r>
      <w:r w:rsidRPr="00D806D9">
        <w:rPr>
          <w:rFonts w:asciiTheme="majorBidi" w:hAnsiTheme="majorBidi" w:cstheme="majorBidi"/>
          <w:sz w:val="24"/>
          <w:szCs w:val="24"/>
          <w:lang w:val="en-US"/>
        </w:rPr>
        <w:t xml:space="preserve"> usage through the signal of EUA price, thus evolving parallelly to create </w:t>
      </w:r>
      <w:r w:rsidR="00E92832">
        <w:rPr>
          <w:rFonts w:asciiTheme="majorBidi" w:hAnsiTheme="majorBidi" w:cstheme="majorBidi"/>
          <w:sz w:val="24"/>
          <w:szCs w:val="24"/>
          <w:lang w:val="en-US"/>
        </w:rPr>
        <w:t xml:space="preserve">an </w:t>
      </w:r>
      <w:r w:rsidRPr="00D806D9">
        <w:rPr>
          <w:rFonts w:asciiTheme="majorBidi" w:hAnsiTheme="majorBidi" w:cstheme="majorBidi"/>
          <w:sz w:val="24"/>
          <w:szCs w:val="24"/>
          <w:lang w:val="en-US"/>
        </w:rPr>
        <w:t xml:space="preserve">incentive, it could also imply a retroaction, namely that shocks experimented by these underlying markets would be repercussed into the EU-ETS. This interplay and how it operates is probably not unilateral and, as mentioned, not entirely understood for now. However, given the structural and </w:t>
      </w:r>
      <w:r w:rsidR="00A06060" w:rsidRPr="00D806D9">
        <w:rPr>
          <w:rFonts w:asciiTheme="majorBidi" w:hAnsiTheme="majorBidi" w:cstheme="majorBidi"/>
          <w:sz w:val="24"/>
          <w:szCs w:val="24"/>
          <w:lang w:val="en-US"/>
        </w:rPr>
        <w:t xml:space="preserve">potential </w:t>
      </w:r>
      <w:r w:rsidRPr="00D806D9">
        <w:rPr>
          <w:rFonts w:asciiTheme="majorBidi" w:hAnsiTheme="majorBidi" w:cstheme="majorBidi"/>
          <w:sz w:val="24"/>
          <w:szCs w:val="24"/>
          <w:lang w:val="en-US"/>
        </w:rPr>
        <w:t xml:space="preserve">reciprocal influence between energy markets and the global economy and their strategic nature, geopolitical events affecting energy markets </w:t>
      </w:r>
      <w:r w:rsidR="00A06060" w:rsidRPr="00D806D9">
        <w:rPr>
          <w:rFonts w:asciiTheme="majorBidi" w:hAnsiTheme="majorBidi" w:cstheme="majorBidi"/>
          <w:sz w:val="24"/>
          <w:szCs w:val="24"/>
          <w:lang w:val="en-US"/>
        </w:rPr>
        <w:t>would have the possibility to</w:t>
      </w:r>
      <w:r w:rsidRPr="00D806D9">
        <w:rPr>
          <w:rFonts w:asciiTheme="majorBidi" w:hAnsiTheme="majorBidi" w:cstheme="majorBidi"/>
          <w:sz w:val="24"/>
          <w:szCs w:val="24"/>
          <w:lang w:val="en-US"/>
        </w:rPr>
        <w:t xml:space="preserve"> impact the EU-ETS. The Ukraine war and the following EU’s determination to substitute its fossil fuel imports from Russia, notably through its R</w:t>
      </w:r>
      <w:r w:rsidR="00A06060"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PowerEU plan (</w:t>
      </w:r>
      <w:r w:rsidR="00A06060" w:rsidRPr="00D806D9">
        <w:rPr>
          <w:rFonts w:asciiTheme="majorBidi" w:hAnsiTheme="majorBidi" w:cstheme="majorBidi"/>
          <w:sz w:val="24"/>
          <w:szCs w:val="24"/>
          <w:lang w:val="en-US"/>
        </w:rPr>
        <w:t>EC, 2022b</w:t>
      </w:r>
      <w:r w:rsidRPr="00D806D9">
        <w:rPr>
          <w:rFonts w:asciiTheme="majorBidi" w:hAnsiTheme="majorBidi" w:cstheme="majorBidi"/>
          <w:sz w:val="24"/>
          <w:szCs w:val="24"/>
          <w:lang w:val="en-US"/>
        </w:rPr>
        <w:t xml:space="preserve">), impacted energy markets as well as suddenly incorporated geopolitical and geostrategic considerations into the EU climate policy. Questioning the discourse on the </w:t>
      </w:r>
      <w:proofErr w:type="spellStart"/>
      <w:r w:rsidRPr="00D806D9">
        <w:rPr>
          <w:rFonts w:asciiTheme="majorBidi" w:hAnsiTheme="majorBidi" w:cstheme="majorBidi"/>
          <w:sz w:val="24"/>
          <w:szCs w:val="24"/>
          <w:lang w:val="en-US"/>
        </w:rPr>
        <w:t>doux</w:t>
      </w:r>
      <w:proofErr w:type="spellEnd"/>
      <w:r w:rsidRPr="00D806D9">
        <w:rPr>
          <w:rFonts w:asciiTheme="majorBidi" w:hAnsiTheme="majorBidi" w:cstheme="majorBidi"/>
          <w:sz w:val="24"/>
          <w:szCs w:val="24"/>
          <w:lang w:val="en-US"/>
        </w:rPr>
        <w:t xml:space="preserve"> commerce theory, both events were </w:t>
      </w:r>
      <w:r w:rsidR="00E92832">
        <w:rPr>
          <w:rFonts w:asciiTheme="majorBidi" w:hAnsiTheme="majorBidi" w:cstheme="majorBidi"/>
          <w:sz w:val="24"/>
          <w:szCs w:val="24"/>
          <w:lang w:val="en-US"/>
        </w:rPr>
        <w:t xml:space="preserve">a </w:t>
      </w:r>
      <w:r w:rsidRPr="00D806D9">
        <w:rPr>
          <w:rFonts w:asciiTheme="majorBidi" w:hAnsiTheme="majorBidi" w:cstheme="majorBidi"/>
          <w:sz w:val="24"/>
          <w:szCs w:val="24"/>
          <w:lang w:val="en-US"/>
        </w:rPr>
        <w:t>source of volatility for the EUA price as the first quarter of this year suggest</w:t>
      </w:r>
      <w:r w:rsidR="00CE0194" w:rsidRPr="00D806D9">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Further, volatility </w:t>
      </w:r>
      <w:r w:rsidR="00D23BFF" w:rsidRPr="00D806D9">
        <w:rPr>
          <w:rFonts w:asciiTheme="majorBidi" w:hAnsiTheme="majorBidi" w:cstheme="majorBidi"/>
          <w:sz w:val="24"/>
          <w:szCs w:val="24"/>
          <w:lang w:val="en-US"/>
        </w:rPr>
        <w:t xml:space="preserve">could be </w:t>
      </w:r>
      <w:r w:rsidRPr="00D806D9">
        <w:rPr>
          <w:rFonts w:asciiTheme="majorBidi" w:hAnsiTheme="majorBidi" w:cstheme="majorBidi"/>
          <w:sz w:val="24"/>
          <w:szCs w:val="24"/>
          <w:lang w:val="en-US"/>
        </w:rPr>
        <w:t>a prospect</w:t>
      </w:r>
      <w:r w:rsidR="00D23BFF" w:rsidRPr="00D806D9">
        <w:rPr>
          <w:rFonts w:asciiTheme="majorBidi" w:hAnsiTheme="majorBidi" w:cstheme="majorBidi"/>
          <w:sz w:val="24"/>
          <w:szCs w:val="24"/>
          <w:lang w:val="en-US"/>
        </w:rPr>
        <w:t>ive</w:t>
      </w:r>
      <w:r w:rsidRPr="00D806D9">
        <w:rPr>
          <w:rFonts w:asciiTheme="majorBidi" w:hAnsiTheme="majorBidi" w:cstheme="majorBidi"/>
          <w:sz w:val="24"/>
          <w:szCs w:val="24"/>
          <w:lang w:val="en-US"/>
        </w:rPr>
        <w:t xml:space="preserve"> characteristic of </w:t>
      </w:r>
      <w:r w:rsidR="00D23BFF" w:rsidRPr="00D806D9">
        <w:rPr>
          <w:rFonts w:asciiTheme="majorBidi" w:hAnsiTheme="majorBidi" w:cstheme="majorBidi"/>
          <w:sz w:val="24"/>
          <w:szCs w:val="24"/>
          <w:lang w:val="en-US"/>
        </w:rPr>
        <w:t xml:space="preserve">fossil fuels </w:t>
      </w:r>
      <w:r w:rsidRPr="00D806D9">
        <w:rPr>
          <w:rFonts w:asciiTheme="majorBidi" w:hAnsiTheme="majorBidi" w:cstheme="majorBidi"/>
          <w:sz w:val="24"/>
          <w:szCs w:val="24"/>
          <w:lang w:val="en-US"/>
        </w:rPr>
        <w:t xml:space="preserve">energy markets </w:t>
      </w:r>
      <w:r w:rsidR="00CF60E1" w:rsidRPr="00D806D9">
        <w:rPr>
          <w:rFonts w:asciiTheme="majorBidi" w:hAnsiTheme="majorBidi" w:cstheme="majorBidi"/>
          <w:sz w:val="24"/>
          <w:szCs w:val="24"/>
          <w:lang w:val="en-US"/>
        </w:rPr>
        <w:t xml:space="preserve">due to new </w:t>
      </w:r>
      <w:r w:rsidR="00D23BFF" w:rsidRPr="00D806D9">
        <w:rPr>
          <w:rFonts w:asciiTheme="majorBidi" w:hAnsiTheme="majorBidi" w:cstheme="majorBidi"/>
          <w:sz w:val="24"/>
          <w:szCs w:val="24"/>
          <w:lang w:val="en-US"/>
        </w:rPr>
        <w:t>geopolitical shocks</w:t>
      </w:r>
      <w:r w:rsidR="00CF60E1" w:rsidRPr="00D806D9">
        <w:rPr>
          <w:rFonts w:asciiTheme="majorBidi" w:hAnsiTheme="majorBidi" w:cstheme="majorBidi"/>
          <w:sz w:val="24"/>
          <w:szCs w:val="24"/>
          <w:lang w:val="en-US"/>
        </w:rPr>
        <w:t xml:space="preserve"> for instance </w:t>
      </w:r>
      <w:r w:rsidRPr="00D806D9">
        <w:rPr>
          <w:rFonts w:asciiTheme="majorBidi" w:hAnsiTheme="majorBidi" w:cstheme="majorBidi"/>
          <w:sz w:val="24"/>
          <w:szCs w:val="24"/>
          <w:lang w:val="en-US"/>
        </w:rPr>
        <w:t>representing an enhanced risk for the EU-ETS.</w:t>
      </w:r>
    </w:p>
    <w:p w14:paraId="605560A3" w14:textId="0F1B7706" w:rsidR="00E83AE2" w:rsidRPr="00D806D9" w:rsidRDefault="00E83AE2" w:rsidP="00D806D9">
      <w:pPr>
        <w:spacing w:after="0" w:line="480" w:lineRule="auto"/>
        <w:ind w:firstLine="708"/>
        <w:jc w:val="both"/>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3.3</w:t>
      </w:r>
      <w:r w:rsidR="00C30A3B" w:rsidRPr="00D806D9">
        <w:rPr>
          <w:rFonts w:asciiTheme="majorBidi" w:hAnsiTheme="majorBidi" w:cstheme="majorBidi"/>
          <w:b/>
          <w:bCs/>
          <w:sz w:val="24"/>
          <w:szCs w:val="24"/>
          <w:lang w:val="en-US"/>
        </w:rPr>
        <w:t>.</w:t>
      </w:r>
      <w:r w:rsidRPr="00D806D9">
        <w:rPr>
          <w:rFonts w:asciiTheme="majorBidi" w:hAnsiTheme="majorBidi" w:cstheme="majorBidi"/>
          <w:b/>
          <w:bCs/>
          <w:sz w:val="24"/>
          <w:szCs w:val="24"/>
          <w:lang w:val="en-US"/>
        </w:rPr>
        <w:tab/>
      </w:r>
      <w:r w:rsidR="005813BB" w:rsidRPr="00D806D9">
        <w:rPr>
          <w:rFonts w:asciiTheme="majorBidi" w:hAnsiTheme="majorBidi" w:cstheme="majorBidi"/>
          <w:b/>
          <w:bCs/>
          <w:sz w:val="24"/>
          <w:szCs w:val="24"/>
          <w:lang w:val="en-US"/>
        </w:rPr>
        <w:t xml:space="preserve">Dynamic and </w:t>
      </w:r>
      <w:r w:rsidR="002E2C46" w:rsidRPr="00D806D9">
        <w:rPr>
          <w:rFonts w:asciiTheme="majorBidi" w:hAnsiTheme="majorBidi" w:cstheme="majorBidi"/>
          <w:b/>
          <w:bCs/>
          <w:sz w:val="24"/>
          <w:szCs w:val="24"/>
          <w:lang w:val="en-US"/>
        </w:rPr>
        <w:t>e</w:t>
      </w:r>
      <w:r w:rsidR="005813BB" w:rsidRPr="00D806D9">
        <w:rPr>
          <w:rFonts w:asciiTheme="majorBidi" w:hAnsiTheme="majorBidi" w:cstheme="majorBidi"/>
          <w:b/>
          <w:bCs/>
          <w:sz w:val="24"/>
          <w:szCs w:val="24"/>
          <w:lang w:val="en-US"/>
        </w:rPr>
        <w:t xml:space="preserve">nvironmental </w:t>
      </w:r>
      <w:r w:rsidR="002E2C46" w:rsidRPr="00D806D9">
        <w:rPr>
          <w:rFonts w:asciiTheme="majorBidi" w:hAnsiTheme="majorBidi" w:cstheme="majorBidi"/>
          <w:b/>
          <w:bCs/>
          <w:sz w:val="24"/>
          <w:szCs w:val="24"/>
          <w:lang w:val="en-US"/>
        </w:rPr>
        <w:t>e</w:t>
      </w:r>
      <w:r w:rsidR="005813BB" w:rsidRPr="00D806D9">
        <w:rPr>
          <w:rFonts w:asciiTheme="majorBidi" w:hAnsiTheme="majorBidi" w:cstheme="majorBidi"/>
          <w:b/>
          <w:bCs/>
          <w:sz w:val="24"/>
          <w:szCs w:val="24"/>
          <w:lang w:val="en-US"/>
        </w:rPr>
        <w:t>fficienc</w:t>
      </w:r>
      <w:r w:rsidR="00FD6132">
        <w:rPr>
          <w:rFonts w:asciiTheme="majorBidi" w:hAnsiTheme="majorBidi" w:cstheme="majorBidi"/>
          <w:b/>
          <w:bCs/>
          <w:sz w:val="24"/>
          <w:szCs w:val="24"/>
          <w:lang w:val="en-US"/>
        </w:rPr>
        <w:t>y</w:t>
      </w:r>
      <w:r w:rsidR="005813BB" w:rsidRPr="00D806D9">
        <w:rPr>
          <w:rFonts w:asciiTheme="majorBidi" w:hAnsiTheme="majorBidi" w:cstheme="majorBidi"/>
          <w:b/>
          <w:bCs/>
          <w:sz w:val="24"/>
          <w:szCs w:val="24"/>
          <w:lang w:val="en-US"/>
        </w:rPr>
        <w:t xml:space="preserve"> </w:t>
      </w:r>
      <w:r w:rsidR="002E2C46" w:rsidRPr="00D806D9">
        <w:rPr>
          <w:rFonts w:asciiTheme="majorBidi" w:hAnsiTheme="majorBidi" w:cstheme="majorBidi"/>
          <w:b/>
          <w:bCs/>
          <w:sz w:val="24"/>
          <w:szCs w:val="24"/>
          <w:lang w:val="en-US"/>
        </w:rPr>
        <w:t>r</w:t>
      </w:r>
      <w:r w:rsidR="005813BB" w:rsidRPr="00D806D9">
        <w:rPr>
          <w:rFonts w:asciiTheme="majorBidi" w:hAnsiTheme="majorBidi" w:cstheme="majorBidi"/>
          <w:b/>
          <w:bCs/>
          <w:sz w:val="24"/>
          <w:szCs w:val="24"/>
          <w:lang w:val="en-US"/>
        </w:rPr>
        <w:t>esults</w:t>
      </w:r>
    </w:p>
    <w:p w14:paraId="46694088" w14:textId="77777777" w:rsidR="00E83AE2" w:rsidRPr="00D806D9" w:rsidRDefault="00E83AE2" w:rsidP="00D806D9">
      <w:pPr>
        <w:spacing w:after="0" w:line="480" w:lineRule="auto"/>
        <w:rPr>
          <w:rFonts w:asciiTheme="majorBidi" w:hAnsiTheme="majorBidi" w:cstheme="majorBidi"/>
          <w:b/>
          <w:bCs/>
          <w:sz w:val="24"/>
          <w:szCs w:val="24"/>
          <w:lang w:val="en-US"/>
        </w:rPr>
      </w:pPr>
    </w:p>
    <w:p w14:paraId="4EDD69C9" w14:textId="7CFF52C1"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Aiming at supporting technological change to improve environmental efficiency, the EU-ETS has not so far demonstrated great </w:t>
      </w:r>
      <w:r w:rsidR="00E92832">
        <w:rPr>
          <w:rFonts w:asciiTheme="majorBidi" w:hAnsiTheme="majorBidi" w:cstheme="majorBidi"/>
          <w:sz w:val="24"/>
          <w:szCs w:val="24"/>
          <w:lang w:val="en-US"/>
        </w:rPr>
        <w:t>performance</w:t>
      </w:r>
      <w:r w:rsidRPr="00D806D9">
        <w:rPr>
          <w:rFonts w:asciiTheme="majorBidi" w:hAnsiTheme="majorBidi" w:cstheme="majorBidi"/>
          <w:sz w:val="24"/>
          <w:szCs w:val="24"/>
          <w:lang w:val="en-US"/>
        </w:rPr>
        <w:t xml:space="preserve">. This section will review each </w:t>
      </w:r>
      <w:r w:rsidR="00EE3672" w:rsidRPr="00D806D9">
        <w:rPr>
          <w:rFonts w:asciiTheme="majorBidi" w:hAnsiTheme="majorBidi" w:cstheme="majorBidi"/>
          <w:sz w:val="24"/>
          <w:szCs w:val="24"/>
          <w:lang w:val="en-US"/>
        </w:rPr>
        <w:t xml:space="preserve">category </w:t>
      </w:r>
      <w:r w:rsidRPr="00D806D9">
        <w:rPr>
          <w:rFonts w:asciiTheme="majorBidi" w:hAnsiTheme="majorBidi" w:cstheme="majorBidi"/>
          <w:sz w:val="24"/>
          <w:szCs w:val="24"/>
          <w:lang w:val="en-US"/>
        </w:rPr>
        <w:t>successively.</w:t>
      </w:r>
    </w:p>
    <w:p w14:paraId="1F302FB2" w14:textId="77777777" w:rsidR="00E83AE2" w:rsidRPr="00D806D9" w:rsidRDefault="00E83AE2" w:rsidP="00D806D9">
      <w:pPr>
        <w:spacing w:after="0" w:line="480" w:lineRule="auto"/>
        <w:jc w:val="both"/>
        <w:textAlignment w:val="baseline"/>
        <w:rPr>
          <w:lang w:val="en-US"/>
        </w:rPr>
      </w:pPr>
    </w:p>
    <w:p w14:paraId="16A273D1" w14:textId="2B0A09F8" w:rsidR="00E83AE2" w:rsidRPr="00D806D9" w:rsidRDefault="00E83AE2" w:rsidP="00D806D9">
      <w:pPr>
        <w:spacing w:after="0" w:line="480" w:lineRule="auto"/>
        <w:ind w:left="1418" w:hanging="710"/>
        <w:jc w:val="both"/>
        <w:rPr>
          <w:rFonts w:asciiTheme="majorBidi" w:hAnsiTheme="majorBidi" w:cstheme="majorBidi"/>
          <w:b/>
          <w:bCs/>
          <w:sz w:val="24"/>
          <w:szCs w:val="24"/>
          <w:lang w:val="en-US"/>
        </w:rPr>
      </w:pPr>
      <w:r w:rsidRPr="00D806D9">
        <w:rPr>
          <w:rFonts w:asciiTheme="majorBidi" w:hAnsiTheme="majorBidi" w:cstheme="majorBidi"/>
          <w:b/>
          <w:bCs/>
          <w:sz w:val="24"/>
          <w:szCs w:val="24"/>
          <w:lang w:val="en-US"/>
        </w:rPr>
        <w:t>3.3.1</w:t>
      </w:r>
      <w:r w:rsidR="00C30A3B" w:rsidRPr="00D806D9">
        <w:rPr>
          <w:rFonts w:asciiTheme="majorBidi" w:hAnsiTheme="majorBidi" w:cstheme="majorBidi"/>
          <w:b/>
          <w:bCs/>
          <w:sz w:val="24"/>
          <w:szCs w:val="24"/>
          <w:lang w:val="en-US"/>
        </w:rPr>
        <w:t>.</w:t>
      </w:r>
      <w:r w:rsidR="00C30A3B" w:rsidRPr="00D806D9">
        <w:rPr>
          <w:rFonts w:asciiTheme="majorBidi" w:hAnsiTheme="majorBidi" w:cstheme="majorBidi"/>
          <w:b/>
          <w:bCs/>
          <w:sz w:val="24"/>
          <w:szCs w:val="24"/>
          <w:lang w:val="en-US"/>
        </w:rPr>
        <w:tab/>
      </w:r>
      <w:r w:rsidR="005813BB" w:rsidRPr="00D806D9">
        <w:rPr>
          <w:rFonts w:asciiTheme="majorBidi" w:hAnsiTheme="majorBidi" w:cstheme="majorBidi"/>
          <w:b/>
          <w:bCs/>
          <w:sz w:val="24"/>
          <w:szCs w:val="24"/>
          <w:lang w:val="en-US"/>
        </w:rPr>
        <w:t xml:space="preserve">Induced </w:t>
      </w:r>
      <w:r w:rsidR="002E2C46" w:rsidRPr="00D806D9">
        <w:rPr>
          <w:rFonts w:asciiTheme="majorBidi" w:hAnsiTheme="majorBidi" w:cstheme="majorBidi"/>
          <w:b/>
          <w:bCs/>
          <w:sz w:val="24"/>
          <w:szCs w:val="24"/>
          <w:lang w:val="en-US"/>
        </w:rPr>
        <w:t>i</w:t>
      </w:r>
      <w:r w:rsidRPr="00D806D9">
        <w:rPr>
          <w:rFonts w:asciiTheme="majorBidi" w:hAnsiTheme="majorBidi" w:cstheme="majorBidi"/>
          <w:b/>
          <w:bCs/>
          <w:sz w:val="24"/>
          <w:szCs w:val="24"/>
          <w:lang w:val="en-US"/>
        </w:rPr>
        <w:t>nnovati</w:t>
      </w:r>
      <w:r w:rsidR="005813BB" w:rsidRPr="00D806D9">
        <w:rPr>
          <w:rFonts w:asciiTheme="majorBidi" w:hAnsiTheme="majorBidi" w:cstheme="majorBidi"/>
          <w:b/>
          <w:bCs/>
          <w:sz w:val="24"/>
          <w:szCs w:val="24"/>
          <w:lang w:val="en-US"/>
        </w:rPr>
        <w:t xml:space="preserve">on and </w:t>
      </w:r>
      <w:r w:rsidR="002E2C46" w:rsidRPr="00D806D9">
        <w:rPr>
          <w:rFonts w:asciiTheme="majorBidi" w:hAnsiTheme="majorBidi" w:cstheme="majorBidi"/>
          <w:b/>
          <w:bCs/>
          <w:sz w:val="24"/>
          <w:szCs w:val="24"/>
          <w:lang w:val="en-US"/>
        </w:rPr>
        <w:t>c</w:t>
      </w:r>
      <w:r w:rsidRPr="00D806D9">
        <w:rPr>
          <w:rFonts w:asciiTheme="majorBidi" w:hAnsiTheme="majorBidi" w:cstheme="majorBidi"/>
          <w:b/>
          <w:bCs/>
          <w:sz w:val="24"/>
          <w:szCs w:val="24"/>
          <w:lang w:val="en-US"/>
        </w:rPr>
        <w:t xml:space="preserve">ompetitive </w:t>
      </w:r>
      <w:r w:rsidR="002E2C46" w:rsidRPr="00D806D9">
        <w:rPr>
          <w:rFonts w:asciiTheme="majorBidi" w:hAnsiTheme="majorBidi" w:cstheme="majorBidi"/>
          <w:b/>
          <w:bCs/>
          <w:sz w:val="24"/>
          <w:szCs w:val="24"/>
          <w:lang w:val="en-US"/>
        </w:rPr>
        <w:t>p</w:t>
      </w:r>
      <w:r w:rsidRPr="00D806D9">
        <w:rPr>
          <w:rFonts w:asciiTheme="majorBidi" w:hAnsiTheme="majorBidi" w:cstheme="majorBidi"/>
          <w:b/>
          <w:bCs/>
          <w:sz w:val="24"/>
          <w:szCs w:val="24"/>
          <w:lang w:val="en-US"/>
        </w:rPr>
        <w:t>rocess</w:t>
      </w:r>
    </w:p>
    <w:p w14:paraId="7141DC95" w14:textId="77777777" w:rsidR="00E83AE2" w:rsidRPr="00D806D9" w:rsidRDefault="00E83AE2" w:rsidP="00D806D9">
      <w:pPr>
        <w:spacing w:after="0" w:line="480" w:lineRule="auto"/>
        <w:ind w:firstLine="708"/>
        <w:jc w:val="both"/>
        <w:textAlignment w:val="baseline"/>
        <w:rPr>
          <w:rFonts w:asciiTheme="majorBidi" w:hAnsiTheme="majorBidi" w:cstheme="majorBidi"/>
          <w:sz w:val="24"/>
          <w:szCs w:val="24"/>
          <w:lang w:val="en-US"/>
        </w:rPr>
      </w:pPr>
    </w:p>
    <w:p w14:paraId="06B84129" w14:textId="56EBE1EB"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Innovation is an </w:t>
      </w:r>
      <w:r w:rsidR="00E92832">
        <w:rPr>
          <w:rFonts w:asciiTheme="majorBidi" w:hAnsiTheme="majorBidi" w:cstheme="majorBidi"/>
          <w:sz w:val="24"/>
          <w:szCs w:val="24"/>
          <w:lang w:val="en-US"/>
        </w:rPr>
        <w:t>explicit</w:t>
      </w:r>
      <w:r w:rsidRPr="00D806D9">
        <w:rPr>
          <w:rFonts w:asciiTheme="majorBidi" w:hAnsiTheme="majorBidi" w:cstheme="majorBidi"/>
          <w:sz w:val="24"/>
          <w:szCs w:val="24"/>
          <w:lang w:val="en-US"/>
        </w:rPr>
        <w:t xml:space="preserve"> objective of the EU-ETS to support technological substitution, specifically “eco-innovation” of product, process</w:t>
      </w:r>
      <w:r w:rsidR="00E92832">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and organizational as defined by Kemp (2010). Induced innovation is a concept hypothesized by </w:t>
      </w:r>
      <w:bookmarkStart w:id="10" w:name="_Hlk110255056"/>
      <w:r w:rsidRPr="00D806D9">
        <w:rPr>
          <w:rFonts w:asciiTheme="majorBidi" w:hAnsiTheme="majorBidi" w:cstheme="majorBidi"/>
          <w:sz w:val="24"/>
          <w:szCs w:val="24"/>
          <w:lang w:val="en-US"/>
        </w:rPr>
        <w:t>John Hicks</w:t>
      </w:r>
      <w:bookmarkEnd w:id="10"/>
      <w:r w:rsidR="00645DD8">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who explained that a “change in the relative prices of the factors of production is itself a spur to invention” (1932, p.124)</w:t>
      </w:r>
      <w:bookmarkStart w:id="11" w:name="_Hlk110255506"/>
      <w:r w:rsidRPr="00D806D9">
        <w:rPr>
          <w:rFonts w:asciiTheme="majorBidi" w:hAnsiTheme="majorBidi" w:cstheme="majorBidi"/>
          <w:sz w:val="24"/>
          <w:szCs w:val="24"/>
          <w:lang w:val="en-US"/>
        </w:rPr>
        <w:t xml:space="preserve">. In this respect, </w:t>
      </w:r>
      <w:bookmarkEnd w:id="11"/>
      <w:r w:rsidR="00E92832">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 xml:space="preserve">EUA price signal is critical. But </w:t>
      </w:r>
      <w:r w:rsidR="00645DD8">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innovation is also supported financially. Article 10a(8) of Directive 2003/87/EC</w:t>
      </w:r>
      <w:r w:rsidR="009225FC" w:rsidRPr="00D806D9">
        <w:rPr>
          <w:rFonts w:asciiTheme="majorBidi" w:hAnsiTheme="majorBidi" w:cstheme="majorBidi"/>
          <w:sz w:val="24"/>
          <w:szCs w:val="24"/>
          <w:lang w:val="en-US"/>
        </w:rPr>
        <w:t xml:space="preserve"> (EPC, 2003)</w:t>
      </w:r>
      <w:r w:rsidRPr="00D806D9">
        <w:rPr>
          <w:rFonts w:asciiTheme="majorBidi" w:hAnsiTheme="majorBidi" w:cstheme="majorBidi"/>
          <w:sz w:val="24"/>
          <w:szCs w:val="24"/>
          <w:lang w:val="en-US"/>
        </w:rPr>
        <w:t xml:space="preserve"> established the 300NER program</w:t>
      </w:r>
      <w:r w:rsidR="00645DD8">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aimed at developing demonstration of environmentally safe CCS and innovative renewable energy technologies on a commercial scale. </w:t>
      </w:r>
      <w:proofErr w:type="spellStart"/>
      <w:r w:rsidRPr="00D806D9">
        <w:rPr>
          <w:rFonts w:asciiTheme="majorBidi" w:hAnsiTheme="majorBidi" w:cstheme="majorBidi"/>
          <w:sz w:val="24"/>
          <w:szCs w:val="24"/>
          <w:lang w:val="en-US"/>
        </w:rPr>
        <w:t>Marcantonini</w:t>
      </w:r>
      <w:proofErr w:type="spellEnd"/>
      <w:r w:rsidRPr="00D806D9">
        <w:rPr>
          <w:rFonts w:asciiTheme="majorBidi" w:hAnsiTheme="majorBidi" w:cstheme="majorBidi"/>
          <w:sz w:val="24"/>
          <w:szCs w:val="24"/>
          <w:lang w:val="en-US"/>
        </w:rPr>
        <w:t xml:space="preserve"> et al. (2017) explain that the IF</w:t>
      </w:r>
      <w:r w:rsidR="000E5647" w:rsidRPr="00D806D9">
        <w:rPr>
          <w:rFonts w:asciiTheme="majorBidi" w:hAnsiTheme="majorBidi" w:cstheme="majorBidi"/>
          <w:sz w:val="24"/>
          <w:szCs w:val="24"/>
          <w:lang w:val="en-US"/>
        </w:rPr>
        <w:t xml:space="preserve"> (EC, 2019c; EC</w:t>
      </w:r>
      <w:r w:rsidR="00B56589" w:rsidRPr="00D806D9">
        <w:rPr>
          <w:rFonts w:asciiTheme="majorBidi" w:hAnsiTheme="majorBidi" w:cstheme="majorBidi"/>
          <w:sz w:val="24"/>
          <w:szCs w:val="24"/>
          <w:lang w:val="en-US"/>
        </w:rPr>
        <w:t>, 2021b)</w:t>
      </w:r>
      <w:r w:rsidRPr="00D806D9">
        <w:rPr>
          <w:rFonts w:asciiTheme="majorBidi" w:hAnsiTheme="majorBidi" w:cstheme="majorBidi"/>
          <w:sz w:val="24"/>
          <w:szCs w:val="24"/>
          <w:lang w:val="en-US"/>
        </w:rPr>
        <w:t xml:space="preserve"> was designed to replace it and reinforce incentives for innovation and investment. In particular, it broadened its resources and the eligible beneficiaries. Among others, the maximum funding rate was raised to 60%, more financial instruments were made available, achievement of milestones now determines fund disbursement, and projects are evaluated not on their sole efficiency but also according to cross-sectorial cooperation.</w:t>
      </w:r>
    </w:p>
    <w:p w14:paraId="6CEC2B45" w14:textId="6DBADA75"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eastAsia="Times New Roman" w:hAnsiTheme="majorBidi" w:cstheme="majorBidi"/>
          <w:color w:val="000000"/>
          <w:sz w:val="24"/>
          <w:szCs w:val="24"/>
          <w:lang w:val="en-US" w:eastAsia="fr-FR" w:bidi="he-IL"/>
        </w:rPr>
        <w:t xml:space="preserve">EU-ETS innovation effects are complicated to assess as they are interwoven with many other dynamics, the challenge being that we can only assume what the emission levels would have been without its implementation, </w:t>
      </w:r>
      <w:proofErr w:type="spellStart"/>
      <w:r w:rsidRPr="00D806D9">
        <w:rPr>
          <w:rFonts w:asciiTheme="majorBidi" w:eastAsia="Times New Roman" w:hAnsiTheme="majorBidi" w:cstheme="majorBidi"/>
          <w:color w:val="000000"/>
          <w:sz w:val="24"/>
          <w:szCs w:val="24"/>
          <w:lang w:val="en-US" w:eastAsia="fr-FR" w:bidi="he-IL"/>
        </w:rPr>
        <w:t>Calel</w:t>
      </w:r>
      <w:proofErr w:type="spellEnd"/>
      <w:r w:rsidRPr="00D806D9">
        <w:rPr>
          <w:rFonts w:asciiTheme="majorBidi" w:eastAsia="Times New Roman" w:hAnsiTheme="majorBidi" w:cstheme="majorBidi"/>
          <w:color w:val="000000"/>
          <w:sz w:val="24"/>
          <w:szCs w:val="24"/>
          <w:lang w:val="en-US" w:eastAsia="fr-FR" w:bidi="he-IL"/>
        </w:rPr>
        <w:t xml:space="preserve"> (2018) </w:t>
      </w:r>
      <w:r w:rsidR="003D1423">
        <w:rPr>
          <w:rFonts w:asciiTheme="majorBidi" w:eastAsia="Times New Roman" w:hAnsiTheme="majorBidi" w:cstheme="majorBidi"/>
          <w:color w:val="000000"/>
          <w:sz w:val="24"/>
          <w:szCs w:val="24"/>
          <w:lang w:val="en-US" w:eastAsia="fr-FR" w:bidi="he-IL"/>
        </w:rPr>
        <w:t>states</w:t>
      </w:r>
      <w:r w:rsidRPr="00D806D9">
        <w:rPr>
          <w:rFonts w:asciiTheme="majorBidi" w:eastAsia="Times New Roman" w:hAnsiTheme="majorBidi" w:cstheme="majorBidi"/>
          <w:color w:val="000000"/>
          <w:sz w:val="24"/>
          <w:szCs w:val="24"/>
          <w:lang w:val="en-US" w:eastAsia="fr-FR" w:bidi="he-IL"/>
        </w:rPr>
        <w:t xml:space="preserve"> that there is a lack </w:t>
      </w:r>
      <w:r w:rsidRPr="00D806D9">
        <w:rPr>
          <w:rFonts w:asciiTheme="majorBidi" w:eastAsia="Times New Roman" w:hAnsiTheme="majorBidi" w:cstheme="majorBidi"/>
          <w:color w:val="000000"/>
          <w:sz w:val="24"/>
          <w:szCs w:val="24"/>
          <w:lang w:val="en-US" w:eastAsia="fr-FR" w:bidi="he-IL"/>
        </w:rPr>
        <w:lastRenderedPageBreak/>
        <w:t xml:space="preserve">of understanding regarding how policy induces innovation and Popp (2019) </w:t>
      </w:r>
      <w:r w:rsidR="00645DD8">
        <w:rPr>
          <w:rFonts w:asciiTheme="majorBidi" w:eastAsia="Times New Roman" w:hAnsiTheme="majorBidi" w:cstheme="majorBidi"/>
          <w:color w:val="000000"/>
          <w:sz w:val="24"/>
          <w:szCs w:val="24"/>
          <w:lang w:val="en-US" w:eastAsia="fr-FR" w:bidi="he-IL"/>
        </w:rPr>
        <w:t>shows</w:t>
      </w:r>
      <w:r w:rsidRPr="00D806D9">
        <w:rPr>
          <w:rFonts w:asciiTheme="majorBidi" w:eastAsia="Times New Roman" w:hAnsiTheme="majorBidi" w:cstheme="majorBidi"/>
          <w:color w:val="000000"/>
          <w:sz w:val="24"/>
          <w:szCs w:val="24"/>
          <w:lang w:val="en-US" w:eastAsia="fr-FR" w:bidi="he-IL"/>
        </w:rPr>
        <w:t xml:space="preserve"> that policy incentives can even affect agents outside the territory an environmental policy applies in. Nonetheless, </w:t>
      </w:r>
      <w:r w:rsidR="003D1423">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a</w:t>
      </w:r>
      <w:r w:rsidRPr="00D806D9">
        <w:rPr>
          <w:rFonts w:asciiTheme="majorBidi" w:hAnsiTheme="majorBidi" w:cstheme="majorBidi"/>
          <w:sz w:val="24"/>
          <w:szCs w:val="24"/>
          <w:lang w:val="en-US"/>
        </w:rPr>
        <w:t xml:space="preserve">nalysis showed that its efficiency could be improved as innovations induced by the EU-ETS </w:t>
      </w:r>
      <w:r w:rsidR="00645DD8">
        <w:rPr>
          <w:rFonts w:asciiTheme="majorBidi" w:hAnsiTheme="majorBidi" w:cstheme="majorBidi"/>
          <w:sz w:val="24"/>
          <w:szCs w:val="24"/>
          <w:lang w:val="en-US"/>
        </w:rPr>
        <w:t>were</w:t>
      </w:r>
      <w:r w:rsidRPr="00D806D9">
        <w:rPr>
          <w:rFonts w:asciiTheme="majorBidi" w:hAnsiTheme="majorBidi" w:cstheme="majorBidi"/>
          <w:sz w:val="24"/>
          <w:szCs w:val="24"/>
          <w:lang w:val="en-US"/>
        </w:rPr>
        <w:t xml:space="preserve"> deemed as positive but weak. </w:t>
      </w:r>
      <w:proofErr w:type="spellStart"/>
      <w:r w:rsidR="002F3FE8" w:rsidRPr="00D806D9">
        <w:rPr>
          <w:rFonts w:asciiTheme="majorBidi" w:hAnsiTheme="majorBidi" w:cstheme="majorBidi"/>
          <w:sz w:val="24"/>
          <w:szCs w:val="24"/>
          <w:lang w:val="en-US"/>
        </w:rPr>
        <w:t>Teixidó</w:t>
      </w:r>
      <w:proofErr w:type="spellEnd"/>
      <w:r w:rsidR="002F3FE8"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et al. (2019) highlighted </w:t>
      </w:r>
      <w:r w:rsidR="003D1423">
        <w:rPr>
          <w:rFonts w:asciiTheme="majorBidi" w:hAnsiTheme="majorBidi" w:cstheme="majorBidi"/>
          <w:sz w:val="24"/>
          <w:szCs w:val="24"/>
          <w:lang w:val="en-US"/>
        </w:rPr>
        <w:t>relatively</w:t>
      </w:r>
      <w:r w:rsidRPr="00D806D9">
        <w:rPr>
          <w:rFonts w:asciiTheme="majorBidi" w:hAnsiTheme="majorBidi" w:cstheme="majorBidi"/>
          <w:sz w:val="24"/>
          <w:szCs w:val="24"/>
          <w:lang w:val="en-US"/>
        </w:rPr>
        <w:t xml:space="preserve"> stronger effects on </w:t>
      </w:r>
      <w:r w:rsidR="00397B73">
        <w:rPr>
          <w:rFonts w:asciiTheme="majorBidi" w:hAnsiTheme="majorBidi" w:cstheme="majorBidi"/>
          <w:sz w:val="24"/>
          <w:szCs w:val="24"/>
          <w:lang w:val="en-US"/>
        </w:rPr>
        <w:t>low-carbon</w:t>
      </w:r>
      <w:r w:rsidRPr="00D806D9">
        <w:rPr>
          <w:rFonts w:asciiTheme="majorBidi" w:hAnsiTheme="majorBidi" w:cstheme="majorBidi"/>
          <w:sz w:val="24"/>
          <w:szCs w:val="24"/>
          <w:lang w:val="en-US"/>
        </w:rPr>
        <w:t xml:space="preserve"> innovation developments than their adoption for the first two EU-ETS phases, </w:t>
      </w:r>
      <w:proofErr w:type="spellStart"/>
      <w:r w:rsidRPr="00D806D9">
        <w:rPr>
          <w:rFonts w:asciiTheme="majorBidi" w:hAnsiTheme="majorBidi" w:cstheme="majorBidi"/>
          <w:sz w:val="24"/>
          <w:szCs w:val="24"/>
          <w:lang w:val="en-US"/>
        </w:rPr>
        <w:t>Borghesi</w:t>
      </w:r>
      <w:proofErr w:type="spellEnd"/>
      <w:r w:rsidRPr="00D806D9">
        <w:rPr>
          <w:rFonts w:asciiTheme="majorBidi" w:hAnsiTheme="majorBidi" w:cstheme="majorBidi"/>
          <w:sz w:val="24"/>
          <w:szCs w:val="24"/>
          <w:lang w:val="en-US"/>
        </w:rPr>
        <w:t xml:space="preserve"> and </w:t>
      </w:r>
      <w:proofErr w:type="spellStart"/>
      <w:r w:rsidRPr="00D806D9">
        <w:rPr>
          <w:rFonts w:asciiTheme="majorBidi" w:hAnsiTheme="majorBidi" w:cstheme="majorBidi"/>
          <w:sz w:val="24"/>
          <w:szCs w:val="24"/>
          <w:lang w:val="en-US"/>
        </w:rPr>
        <w:t>Montini</w:t>
      </w:r>
      <w:proofErr w:type="spellEnd"/>
      <w:r w:rsidRPr="00D806D9">
        <w:rPr>
          <w:rFonts w:asciiTheme="majorBidi" w:hAnsiTheme="majorBidi" w:cstheme="majorBidi"/>
          <w:sz w:val="24"/>
          <w:szCs w:val="24"/>
          <w:lang w:val="en-US"/>
        </w:rPr>
        <w:t xml:space="preserve"> (2016) adding that they can be measured both at the EU and individual MS levels. </w:t>
      </w:r>
      <w:proofErr w:type="spellStart"/>
      <w:r w:rsidRPr="00D806D9">
        <w:rPr>
          <w:rFonts w:asciiTheme="majorBidi" w:hAnsiTheme="majorBidi" w:cstheme="majorBidi"/>
          <w:sz w:val="24"/>
          <w:szCs w:val="24"/>
          <w:lang w:val="en-US"/>
        </w:rPr>
        <w:t>Marcantonini</w:t>
      </w:r>
      <w:proofErr w:type="spellEnd"/>
      <w:r w:rsidRPr="00D806D9">
        <w:rPr>
          <w:rFonts w:asciiTheme="majorBidi" w:hAnsiTheme="majorBidi" w:cstheme="majorBidi"/>
          <w:sz w:val="24"/>
          <w:szCs w:val="24"/>
          <w:lang w:val="en-US"/>
        </w:rPr>
        <w:t xml:space="preserve"> et al. (2017) showed that related patenting and R&amp;D expenditures increased but that projects implicated were typically small-scaled with short amortization times. Explanatory elements included first price volatility</w:t>
      </w:r>
      <w:r w:rsidR="00645DD8">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would have deterred investment in </w:t>
      </w:r>
      <w:r w:rsidR="00397B73">
        <w:rPr>
          <w:rFonts w:asciiTheme="majorBidi" w:hAnsiTheme="majorBidi" w:cstheme="majorBidi"/>
          <w:sz w:val="24"/>
          <w:szCs w:val="24"/>
          <w:lang w:val="en-US"/>
        </w:rPr>
        <w:t>low-carbon</w:t>
      </w:r>
      <w:r w:rsidRPr="00D806D9">
        <w:rPr>
          <w:rFonts w:asciiTheme="majorBidi" w:hAnsiTheme="majorBidi" w:cstheme="majorBidi"/>
          <w:sz w:val="24"/>
          <w:szCs w:val="24"/>
          <w:lang w:val="en-US"/>
        </w:rPr>
        <w:t xml:space="preserve"> technologies, the market signal not being stable enough (</w:t>
      </w:r>
      <w:proofErr w:type="spellStart"/>
      <w:r w:rsidRPr="00D806D9">
        <w:rPr>
          <w:rFonts w:asciiTheme="majorBidi" w:hAnsiTheme="majorBidi" w:cstheme="majorBidi"/>
          <w:sz w:val="24"/>
          <w:szCs w:val="24"/>
          <w:lang w:val="en-US"/>
        </w:rPr>
        <w:t>Gronwald</w:t>
      </w:r>
      <w:proofErr w:type="spellEnd"/>
      <w:r w:rsidRPr="00D806D9">
        <w:rPr>
          <w:rFonts w:asciiTheme="majorBidi" w:hAnsiTheme="majorBidi" w:cstheme="majorBidi"/>
          <w:sz w:val="24"/>
          <w:szCs w:val="24"/>
          <w:lang w:val="en-US"/>
        </w:rPr>
        <w:t xml:space="preserve"> &amp; </w:t>
      </w:r>
      <w:proofErr w:type="spellStart"/>
      <w:r w:rsidRPr="00D806D9">
        <w:rPr>
          <w:rFonts w:asciiTheme="majorBidi" w:hAnsiTheme="majorBidi" w:cstheme="majorBidi"/>
          <w:sz w:val="24"/>
          <w:szCs w:val="24"/>
          <w:lang w:val="en-US"/>
        </w:rPr>
        <w:t>Ketterer</w:t>
      </w:r>
      <w:proofErr w:type="spellEnd"/>
      <w:r w:rsidRPr="00D806D9">
        <w:rPr>
          <w:rFonts w:asciiTheme="majorBidi" w:hAnsiTheme="majorBidi" w:cstheme="majorBidi"/>
          <w:sz w:val="24"/>
          <w:szCs w:val="24"/>
          <w:lang w:val="en-US"/>
        </w:rPr>
        <w:t xml:space="preserve">, 2015). Similarly, a too low price rendered </w:t>
      </w:r>
      <w:r w:rsidRPr="00D806D9">
        <w:rPr>
          <w:rFonts w:asciiTheme="majorBidi" w:eastAsia="Times New Roman" w:hAnsiTheme="majorBidi" w:cstheme="majorBidi"/>
          <w:color w:val="000000"/>
          <w:sz w:val="24"/>
          <w:szCs w:val="24"/>
          <w:lang w:val="en-US" w:eastAsia="fr-FR" w:bidi="he-IL"/>
        </w:rPr>
        <w:t xml:space="preserve">financing costs too high for </w:t>
      </w:r>
      <w:r w:rsidR="00397B73">
        <w:rPr>
          <w:rFonts w:asciiTheme="majorBidi" w:eastAsia="Times New Roman" w:hAnsiTheme="majorBidi" w:cstheme="majorBidi"/>
          <w:color w:val="000000"/>
          <w:sz w:val="24"/>
          <w:szCs w:val="24"/>
          <w:lang w:val="en-US" w:eastAsia="fr-FR" w:bidi="he-IL"/>
        </w:rPr>
        <w:t>low-carbon</w:t>
      </w:r>
      <w:r w:rsidRPr="00D806D9">
        <w:rPr>
          <w:rFonts w:asciiTheme="majorBidi" w:eastAsia="Times New Roman" w:hAnsiTheme="majorBidi" w:cstheme="majorBidi"/>
          <w:color w:val="000000"/>
          <w:sz w:val="24"/>
          <w:szCs w:val="24"/>
          <w:lang w:val="en-US" w:eastAsia="fr-FR" w:bidi="he-IL"/>
        </w:rPr>
        <w:t xml:space="preserve"> technologies. Further, </w:t>
      </w:r>
      <w:r w:rsidR="003D1423">
        <w:rPr>
          <w:rFonts w:asciiTheme="majorBidi" w:eastAsia="Times New Roman" w:hAnsiTheme="majorBidi" w:cstheme="majorBidi"/>
          <w:color w:val="000000"/>
          <w:sz w:val="24"/>
          <w:szCs w:val="24"/>
          <w:lang w:val="en-US" w:eastAsia="fr-FR" w:bidi="he-IL"/>
        </w:rPr>
        <w:t>MS’s</w:t>
      </w:r>
      <w:r w:rsidRPr="00D806D9">
        <w:rPr>
          <w:rFonts w:asciiTheme="majorBidi" w:eastAsia="Times New Roman" w:hAnsiTheme="majorBidi" w:cstheme="majorBidi"/>
          <w:color w:val="000000"/>
          <w:sz w:val="24"/>
          <w:szCs w:val="24"/>
          <w:lang w:val="en-US" w:eastAsia="fr-FR" w:bidi="he-IL"/>
        </w:rPr>
        <w:t xml:space="preserve"> unilateral national policies to support a wide range of eco-innovations could have created allocative alterations between them as the EU-ETS caps emissions, </w:t>
      </w:r>
      <w:r w:rsidR="003D1423">
        <w:rPr>
          <w:rFonts w:asciiTheme="majorBidi" w:eastAsia="Times New Roman" w:hAnsiTheme="majorBidi" w:cstheme="majorBidi"/>
          <w:color w:val="000000"/>
          <w:sz w:val="24"/>
          <w:szCs w:val="24"/>
          <w:lang w:val="en-US" w:eastAsia="fr-FR" w:bidi="he-IL"/>
        </w:rPr>
        <w:t xml:space="preserve">a </w:t>
      </w:r>
      <w:r w:rsidRPr="00D806D9">
        <w:rPr>
          <w:rFonts w:asciiTheme="majorBidi" w:eastAsia="Times New Roman" w:hAnsiTheme="majorBidi" w:cstheme="majorBidi"/>
          <w:color w:val="000000"/>
          <w:sz w:val="24"/>
          <w:szCs w:val="24"/>
          <w:lang w:val="en-US" w:eastAsia="fr-FR" w:bidi="he-IL"/>
        </w:rPr>
        <w:t xml:space="preserve">phenomenon referred to as </w:t>
      </w:r>
      <w:r w:rsidR="003D1423">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“waterbed effect” (e.g. </w:t>
      </w:r>
      <w:bookmarkStart w:id="12" w:name="_Hlk110800492"/>
      <w:r w:rsidRPr="00D806D9">
        <w:rPr>
          <w:rFonts w:asciiTheme="majorBidi" w:eastAsia="Times New Roman" w:hAnsiTheme="majorBidi" w:cstheme="majorBidi"/>
          <w:color w:val="000000"/>
          <w:sz w:val="24"/>
          <w:szCs w:val="24"/>
          <w:lang w:val="en-US" w:eastAsia="fr-FR" w:bidi="he-IL"/>
        </w:rPr>
        <w:t xml:space="preserve">Eichner </w:t>
      </w:r>
      <w:r w:rsidR="00367E30">
        <w:rPr>
          <w:rFonts w:asciiTheme="majorBidi" w:eastAsia="Times New Roman" w:hAnsiTheme="majorBidi" w:cstheme="majorBidi"/>
          <w:color w:val="000000"/>
          <w:sz w:val="24"/>
          <w:szCs w:val="24"/>
          <w:lang w:val="en-US" w:eastAsia="fr-FR" w:bidi="he-IL"/>
        </w:rPr>
        <w:t>and</w:t>
      </w:r>
      <w:r w:rsidRPr="00D806D9">
        <w:rPr>
          <w:rFonts w:asciiTheme="majorBidi" w:eastAsia="Times New Roman" w:hAnsiTheme="majorBidi" w:cstheme="majorBidi"/>
          <w:color w:val="000000"/>
          <w:sz w:val="24"/>
          <w:szCs w:val="24"/>
          <w:lang w:val="en-US" w:eastAsia="fr-FR" w:bidi="he-IL"/>
        </w:rPr>
        <w:t xml:space="preserve"> </w:t>
      </w:r>
      <w:proofErr w:type="spellStart"/>
      <w:r w:rsidRPr="00D806D9">
        <w:rPr>
          <w:rFonts w:asciiTheme="majorBidi" w:eastAsia="Times New Roman" w:hAnsiTheme="majorBidi" w:cstheme="majorBidi"/>
          <w:color w:val="000000"/>
          <w:sz w:val="24"/>
          <w:szCs w:val="24"/>
          <w:lang w:val="en-US" w:eastAsia="fr-FR" w:bidi="he-IL"/>
        </w:rPr>
        <w:t>Pethig</w:t>
      </w:r>
      <w:proofErr w:type="spellEnd"/>
      <w:r w:rsidRPr="00D806D9">
        <w:rPr>
          <w:rFonts w:asciiTheme="majorBidi" w:eastAsia="Times New Roman" w:hAnsiTheme="majorBidi" w:cstheme="majorBidi"/>
          <w:color w:val="000000"/>
          <w:sz w:val="24"/>
          <w:szCs w:val="24"/>
          <w:lang w:val="en-US" w:eastAsia="fr-FR" w:bidi="he-IL"/>
        </w:rPr>
        <w:t xml:space="preserve">, </w:t>
      </w:r>
      <w:bookmarkEnd w:id="12"/>
      <w:r w:rsidRPr="00D806D9">
        <w:rPr>
          <w:rFonts w:asciiTheme="majorBidi" w:eastAsia="Times New Roman" w:hAnsiTheme="majorBidi" w:cstheme="majorBidi"/>
          <w:color w:val="000000"/>
          <w:sz w:val="24"/>
          <w:szCs w:val="24"/>
          <w:lang w:val="en-US" w:eastAsia="fr-FR" w:bidi="he-IL"/>
        </w:rPr>
        <w:t>2019).</w:t>
      </w:r>
      <w:r w:rsidR="002A6E99"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hAnsiTheme="majorBidi" w:cstheme="majorBidi"/>
          <w:sz w:val="24"/>
          <w:szCs w:val="24"/>
          <w:lang w:val="en-US"/>
        </w:rPr>
        <w:t>Besides, if the EU-ETS appears to act as a signal for technological change integrated by the agents, it does not seem to trigger it</w:t>
      </w:r>
      <w:r w:rsidR="003D1423">
        <w:rPr>
          <w:rFonts w:asciiTheme="majorBidi" w:hAnsiTheme="majorBidi" w:cstheme="majorBidi"/>
          <w:sz w:val="24"/>
          <w:szCs w:val="24"/>
          <w:lang w:val="en-US"/>
        </w:rPr>
        <w:t>.</w:t>
      </w:r>
      <w:r w:rsidR="002A6E99" w:rsidRPr="00D806D9">
        <w:rPr>
          <w:rFonts w:asciiTheme="majorBidi" w:hAnsiTheme="majorBidi" w:cstheme="majorBidi"/>
          <w:sz w:val="24"/>
          <w:szCs w:val="24"/>
          <w:lang w:val="en-US"/>
        </w:rPr>
        <w:t xml:space="preserve"> Martin et al. (2016) </w:t>
      </w:r>
      <w:r w:rsidR="003D1423">
        <w:rPr>
          <w:rFonts w:asciiTheme="majorBidi" w:hAnsiTheme="majorBidi" w:cstheme="majorBidi"/>
          <w:sz w:val="24"/>
          <w:szCs w:val="24"/>
          <w:lang w:val="en-US"/>
        </w:rPr>
        <w:t>show</w:t>
      </w:r>
      <w:r w:rsidR="002A6E99" w:rsidRPr="00D806D9">
        <w:rPr>
          <w:rFonts w:asciiTheme="majorBidi" w:hAnsiTheme="majorBidi" w:cstheme="majorBidi"/>
          <w:sz w:val="24"/>
          <w:szCs w:val="24"/>
          <w:lang w:val="en-US"/>
        </w:rPr>
        <w:t xml:space="preserve"> that if innovation development is stimulated, </w:t>
      </w:r>
      <w:r w:rsidR="003D1423">
        <w:rPr>
          <w:rFonts w:asciiTheme="majorBidi" w:hAnsiTheme="majorBidi" w:cstheme="majorBidi"/>
          <w:sz w:val="24"/>
          <w:szCs w:val="24"/>
          <w:lang w:val="en-US"/>
        </w:rPr>
        <w:t xml:space="preserve">its </w:t>
      </w:r>
      <w:r w:rsidR="002A6E99" w:rsidRPr="00D806D9">
        <w:rPr>
          <w:rFonts w:asciiTheme="majorBidi" w:hAnsiTheme="majorBidi" w:cstheme="majorBidi"/>
          <w:sz w:val="24"/>
          <w:szCs w:val="24"/>
          <w:lang w:val="en-US"/>
        </w:rPr>
        <w:t>adoption is not.</w:t>
      </w:r>
    </w:p>
    <w:p w14:paraId="71A3CA89" w14:textId="77777777" w:rsidR="0055513C" w:rsidRPr="00D806D9" w:rsidRDefault="0055513C" w:rsidP="00D806D9">
      <w:pPr>
        <w:spacing w:after="0" w:line="480" w:lineRule="auto"/>
        <w:jc w:val="both"/>
        <w:textAlignment w:val="baseline"/>
        <w:rPr>
          <w:rFonts w:asciiTheme="majorBidi" w:hAnsiTheme="majorBidi" w:cstheme="majorBidi"/>
          <w:sz w:val="24"/>
          <w:szCs w:val="24"/>
          <w:lang w:val="en-US"/>
        </w:rPr>
      </w:pPr>
    </w:p>
    <w:p w14:paraId="5D9A7E67" w14:textId="0B593E25" w:rsidR="00E83AE2" w:rsidRPr="00D806D9" w:rsidRDefault="00E83AE2" w:rsidP="00D806D9">
      <w:pPr>
        <w:spacing w:after="0" w:line="480" w:lineRule="auto"/>
        <w:ind w:left="1418" w:hanging="710"/>
        <w:jc w:val="both"/>
        <w:rPr>
          <w:rFonts w:asciiTheme="majorBidi" w:hAnsiTheme="majorBidi" w:cstheme="majorBidi"/>
          <w:b/>
          <w:bCs/>
          <w:sz w:val="24"/>
          <w:szCs w:val="24"/>
          <w:lang w:val="en-US"/>
        </w:rPr>
      </w:pPr>
      <w:r w:rsidRPr="00D806D9">
        <w:rPr>
          <w:rFonts w:asciiTheme="majorBidi" w:hAnsiTheme="majorBidi" w:cstheme="majorBidi"/>
          <w:b/>
          <w:bCs/>
          <w:sz w:val="24"/>
          <w:szCs w:val="24"/>
          <w:lang w:val="en-US"/>
        </w:rPr>
        <w:t>3.3.2</w:t>
      </w:r>
      <w:r w:rsidR="00FD27C7" w:rsidRPr="00D806D9">
        <w:rPr>
          <w:rFonts w:asciiTheme="majorBidi" w:hAnsiTheme="majorBidi" w:cstheme="majorBidi"/>
          <w:b/>
          <w:bCs/>
          <w:sz w:val="24"/>
          <w:szCs w:val="24"/>
          <w:lang w:val="en-US"/>
        </w:rPr>
        <w:t>.</w:t>
      </w:r>
      <w:r w:rsidR="00FD27C7" w:rsidRPr="00D806D9">
        <w:rPr>
          <w:rFonts w:asciiTheme="majorBidi" w:hAnsiTheme="majorBidi" w:cstheme="majorBidi"/>
          <w:b/>
          <w:bCs/>
          <w:sz w:val="24"/>
          <w:szCs w:val="24"/>
          <w:lang w:val="en-US"/>
        </w:rPr>
        <w:tab/>
      </w:r>
      <w:r w:rsidRPr="00D806D9">
        <w:rPr>
          <w:rFonts w:asciiTheme="majorBidi" w:hAnsiTheme="majorBidi" w:cstheme="majorBidi"/>
          <w:b/>
          <w:bCs/>
          <w:sz w:val="24"/>
          <w:szCs w:val="24"/>
          <w:lang w:val="en-US"/>
        </w:rPr>
        <w:t>Environmental Efficiency</w:t>
      </w:r>
    </w:p>
    <w:p w14:paraId="0AF02810" w14:textId="77777777" w:rsidR="00E83AE2" w:rsidRPr="00D806D9" w:rsidRDefault="00E83AE2" w:rsidP="00D806D9">
      <w:pPr>
        <w:spacing w:after="0" w:line="480" w:lineRule="auto"/>
        <w:jc w:val="both"/>
        <w:textAlignment w:val="baseline"/>
        <w:rPr>
          <w:rFonts w:asciiTheme="majorBidi" w:hAnsiTheme="majorBidi" w:cstheme="majorBidi"/>
          <w:sz w:val="24"/>
          <w:szCs w:val="24"/>
          <w:lang w:val="en-US"/>
        </w:rPr>
      </w:pPr>
    </w:p>
    <w:p w14:paraId="3A3D9DD8" w14:textId="3E14DCAA" w:rsidR="00E83AE2" w:rsidRPr="00D806D9" w:rsidRDefault="00E83AE2"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Nevertheless, environmental impact is even more controversial. Indeed, it is difficult to differentiate the EU-ETS driving effect from other simultaneous phenomena or to distinguish between the respective impact</w:t>
      </w:r>
      <w:r w:rsidR="001A65AF">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of different factors. </w:t>
      </w:r>
      <w:r w:rsidR="000734D7">
        <w:rPr>
          <w:rFonts w:asciiTheme="majorBidi" w:eastAsia="Times New Roman" w:hAnsiTheme="majorBidi" w:cstheme="majorBidi"/>
          <w:color w:val="000000"/>
          <w:sz w:val="24"/>
          <w:szCs w:val="24"/>
          <w:lang w:val="en-US" w:eastAsia="fr-FR" w:bidi="he-IL"/>
        </w:rPr>
        <w:t>The reduction</w:t>
      </w:r>
      <w:r w:rsidRPr="00D806D9">
        <w:rPr>
          <w:rFonts w:asciiTheme="majorBidi" w:eastAsia="Times New Roman" w:hAnsiTheme="majorBidi" w:cstheme="majorBidi"/>
          <w:color w:val="000000"/>
          <w:sz w:val="24"/>
          <w:szCs w:val="24"/>
          <w:lang w:val="en-US" w:eastAsia="fr-FR" w:bidi="he-IL"/>
        </w:rPr>
        <w:t xml:space="preserve"> of GHGE </w:t>
      </w:r>
      <w:r w:rsidR="000734D7">
        <w:rPr>
          <w:rFonts w:asciiTheme="majorBidi" w:eastAsia="Times New Roman" w:hAnsiTheme="majorBidi" w:cstheme="majorBidi"/>
          <w:color w:val="000000"/>
          <w:sz w:val="24"/>
          <w:szCs w:val="24"/>
          <w:lang w:val="en-US" w:eastAsia="fr-FR" w:bidi="he-IL"/>
        </w:rPr>
        <w:t>in</w:t>
      </w:r>
      <w:r w:rsidRPr="00D806D9">
        <w:rPr>
          <w:rFonts w:asciiTheme="majorBidi" w:eastAsia="Times New Roman" w:hAnsiTheme="majorBidi" w:cstheme="majorBidi"/>
          <w:color w:val="000000"/>
          <w:sz w:val="24"/>
          <w:szCs w:val="24"/>
          <w:lang w:val="en-US" w:eastAsia="fr-FR" w:bidi="he-IL"/>
        </w:rPr>
        <w:t xml:space="preserve"> covered</w:t>
      </w:r>
      <w:r w:rsidRPr="00D806D9">
        <w:rPr>
          <w:rFonts w:asciiTheme="majorBidi" w:eastAsia="Times New Roman" w:hAnsiTheme="majorBidi" w:cstheme="majorBidi"/>
          <w:sz w:val="24"/>
          <w:szCs w:val="24"/>
          <w:lang w:val="en-US" w:eastAsia="fr-FR" w:bidi="he-IL"/>
        </w:rPr>
        <w:t xml:space="preserve"> sectors is announced to have declined by 35% between 2005 and 2019 </w:t>
      </w:r>
      <w:r w:rsidRPr="00D806D9">
        <w:rPr>
          <w:rFonts w:asciiTheme="majorBidi" w:eastAsia="Times New Roman" w:hAnsiTheme="majorBidi" w:cstheme="majorBidi"/>
          <w:sz w:val="24"/>
          <w:szCs w:val="24"/>
          <w:lang w:val="en-US" w:eastAsia="fr-FR" w:bidi="he-IL"/>
        </w:rPr>
        <w:lastRenderedPageBreak/>
        <w:t>(</w:t>
      </w:r>
      <w:r w:rsidR="00A1401F" w:rsidRPr="00D806D9">
        <w:rPr>
          <w:rFonts w:asciiTheme="majorBidi" w:eastAsia="Times New Roman" w:hAnsiTheme="majorBidi" w:cstheme="majorBidi"/>
          <w:sz w:val="24"/>
          <w:szCs w:val="24"/>
          <w:lang w:val="en-US" w:eastAsia="fr-FR" w:bidi="he-IL"/>
        </w:rPr>
        <w:t>EC</w:t>
      </w:r>
      <w:r w:rsidRPr="00D806D9">
        <w:rPr>
          <w:rFonts w:asciiTheme="majorBidi" w:eastAsia="Times New Roman" w:hAnsiTheme="majorBidi" w:cstheme="majorBidi"/>
          <w:sz w:val="24"/>
          <w:szCs w:val="24"/>
          <w:lang w:val="en-US" w:eastAsia="fr-FR" w:bidi="he-IL"/>
        </w:rPr>
        <w:t>, n.d.</w:t>
      </w:r>
      <w:r w:rsidR="00FB18BA" w:rsidRPr="00D806D9">
        <w:rPr>
          <w:rFonts w:asciiTheme="majorBidi" w:eastAsia="Times New Roman" w:hAnsiTheme="majorBidi" w:cstheme="majorBidi"/>
          <w:sz w:val="24"/>
          <w:szCs w:val="24"/>
          <w:lang w:val="en-US" w:eastAsia="fr-FR" w:bidi="he-IL"/>
        </w:rPr>
        <w:t>/b</w:t>
      </w:r>
      <w:r w:rsidRPr="00D806D9">
        <w:rPr>
          <w:rFonts w:asciiTheme="majorBidi" w:eastAsia="Times New Roman" w:hAnsiTheme="majorBidi" w:cstheme="majorBidi"/>
          <w:sz w:val="24"/>
          <w:szCs w:val="24"/>
          <w:lang w:val="en-US" w:eastAsia="fr-FR" w:bidi="he-IL"/>
        </w:rPr>
        <w:t xml:space="preserve">) and </w:t>
      </w:r>
      <w:r w:rsidR="000734D7">
        <w:rPr>
          <w:rFonts w:asciiTheme="majorBidi" w:eastAsia="Times New Roman" w:hAnsiTheme="majorBidi" w:cstheme="majorBidi"/>
          <w:sz w:val="24"/>
          <w:szCs w:val="24"/>
          <w:lang w:val="en-US" w:eastAsia="fr-FR" w:bidi="he-IL"/>
        </w:rPr>
        <w:t xml:space="preserve">is </w:t>
      </w:r>
      <w:r w:rsidRPr="00D806D9">
        <w:rPr>
          <w:rFonts w:asciiTheme="majorBidi" w:eastAsia="Times New Roman" w:hAnsiTheme="majorBidi" w:cstheme="majorBidi"/>
          <w:sz w:val="24"/>
          <w:szCs w:val="24"/>
          <w:lang w:val="en-US" w:eastAsia="fr-FR" w:bidi="he-IL"/>
        </w:rPr>
        <w:t xml:space="preserve">partly </w:t>
      </w:r>
      <w:r w:rsidRPr="00D806D9">
        <w:rPr>
          <w:rFonts w:asciiTheme="majorBidi" w:eastAsia="Times New Roman" w:hAnsiTheme="majorBidi" w:cstheme="majorBidi"/>
          <w:color w:val="000000"/>
          <w:sz w:val="24"/>
          <w:szCs w:val="24"/>
          <w:lang w:val="en-US" w:eastAsia="fr-FR" w:bidi="he-IL"/>
        </w:rPr>
        <w:t xml:space="preserve">confirmed by </w:t>
      </w:r>
      <w:r w:rsidRPr="00D806D9">
        <w:rPr>
          <w:rFonts w:asciiTheme="majorBidi" w:eastAsia="Times New Roman" w:hAnsiTheme="majorBidi" w:cstheme="majorBidi"/>
          <w:sz w:val="24"/>
          <w:szCs w:val="24"/>
          <w:lang w:val="en-US" w:eastAsia="fr-FR" w:bidi="he-IL"/>
        </w:rPr>
        <w:t xml:space="preserve">some studies (e.g., Martin et al., 2016; </w:t>
      </w:r>
      <w:bookmarkStart w:id="13" w:name="_Hlk110800921"/>
      <w:r w:rsidRPr="00D806D9">
        <w:rPr>
          <w:rFonts w:asciiTheme="majorBidi" w:eastAsia="Times New Roman" w:hAnsiTheme="majorBidi" w:cstheme="majorBidi"/>
          <w:sz w:val="24"/>
          <w:szCs w:val="24"/>
          <w:lang w:val="en-US" w:eastAsia="fr-FR" w:bidi="he-IL"/>
        </w:rPr>
        <w:t xml:space="preserve">Bayer &amp; </w:t>
      </w:r>
      <w:proofErr w:type="spellStart"/>
      <w:r w:rsidRPr="00D806D9">
        <w:rPr>
          <w:rFonts w:asciiTheme="majorBidi" w:eastAsia="Times New Roman" w:hAnsiTheme="majorBidi" w:cstheme="majorBidi"/>
          <w:sz w:val="24"/>
          <w:szCs w:val="24"/>
          <w:lang w:val="en-US" w:eastAsia="fr-FR" w:bidi="he-IL"/>
        </w:rPr>
        <w:t>Aklin</w:t>
      </w:r>
      <w:proofErr w:type="spellEnd"/>
      <w:r w:rsidRPr="00D806D9">
        <w:rPr>
          <w:rFonts w:asciiTheme="majorBidi" w:eastAsia="Times New Roman" w:hAnsiTheme="majorBidi" w:cstheme="majorBidi"/>
          <w:sz w:val="24"/>
          <w:szCs w:val="24"/>
          <w:lang w:val="en-US" w:eastAsia="fr-FR" w:bidi="he-IL"/>
        </w:rPr>
        <w:t>, 2020</w:t>
      </w:r>
      <w:bookmarkEnd w:id="13"/>
      <w:r w:rsidRPr="00D806D9">
        <w:rPr>
          <w:rFonts w:asciiTheme="majorBidi" w:eastAsia="Times New Roman" w:hAnsiTheme="majorBidi" w:cstheme="majorBidi"/>
          <w:sz w:val="24"/>
          <w:szCs w:val="24"/>
          <w:lang w:val="en-US" w:eastAsia="fr-FR" w:bidi="he-IL"/>
        </w:rPr>
        <w:t xml:space="preserve">). </w:t>
      </w:r>
      <w:r w:rsidR="00F72593" w:rsidRPr="00D806D9">
        <w:rPr>
          <w:rFonts w:asciiTheme="majorBidi" w:hAnsiTheme="majorBidi" w:cstheme="majorBidi"/>
          <w:sz w:val="24"/>
          <w:szCs w:val="24"/>
          <w:lang w:val="en-US"/>
        </w:rPr>
        <w:t xml:space="preserve">An optimal </w:t>
      </w:r>
      <w:r w:rsidR="000734D7">
        <w:rPr>
          <w:rFonts w:asciiTheme="majorBidi" w:hAnsiTheme="majorBidi" w:cstheme="majorBidi"/>
          <w:sz w:val="24"/>
          <w:szCs w:val="24"/>
          <w:lang w:val="en-US"/>
        </w:rPr>
        <w:t>resource</w:t>
      </w:r>
      <w:r w:rsidR="00F72593" w:rsidRPr="00D806D9">
        <w:rPr>
          <w:rFonts w:asciiTheme="majorBidi" w:hAnsiTheme="majorBidi" w:cstheme="majorBidi"/>
          <w:sz w:val="24"/>
          <w:szCs w:val="24"/>
          <w:lang w:val="en-US"/>
        </w:rPr>
        <w:t xml:space="preserve"> allocation would have ensured a larger GHGE reduction. </w:t>
      </w:r>
      <w:r w:rsidRPr="00D806D9">
        <w:rPr>
          <w:rFonts w:asciiTheme="majorBidi" w:eastAsia="Times New Roman" w:hAnsiTheme="majorBidi" w:cstheme="majorBidi"/>
          <w:sz w:val="24"/>
          <w:szCs w:val="24"/>
          <w:lang w:val="en-US" w:eastAsia="fr-FR" w:bidi="he-IL"/>
        </w:rPr>
        <w:t>If this could appear as quantitative success, several shifts in its basis of calculation</w:t>
      </w:r>
      <w:r w:rsidR="000734D7">
        <w:rPr>
          <w:rFonts w:asciiTheme="majorBidi" w:eastAsia="Times New Roman" w:hAnsiTheme="majorBidi" w:cstheme="majorBidi"/>
          <w:sz w:val="24"/>
          <w:szCs w:val="24"/>
          <w:lang w:val="en-US" w:eastAsia="fr-FR" w:bidi="he-IL"/>
        </w:rPr>
        <w:t>, as well as their mutual influence,</w:t>
      </w:r>
      <w:r w:rsidRPr="00D806D9">
        <w:rPr>
          <w:rFonts w:asciiTheme="majorBidi" w:eastAsia="Times New Roman" w:hAnsiTheme="majorBidi" w:cstheme="majorBidi"/>
          <w:sz w:val="24"/>
          <w:szCs w:val="24"/>
          <w:lang w:val="en-US" w:eastAsia="fr-FR" w:bidi="he-IL"/>
        </w:rPr>
        <w:t xml:space="preserve"> tend to temperate these results. Indeed, the</w:t>
      </w:r>
      <w:r w:rsidRPr="00D806D9">
        <w:rPr>
          <w:rFonts w:asciiTheme="majorBidi" w:eastAsia="Times New Roman" w:hAnsiTheme="majorBidi" w:cstheme="majorBidi"/>
          <w:color w:val="000000"/>
          <w:sz w:val="24"/>
          <w:szCs w:val="24"/>
          <w:lang w:val="en-US" w:eastAsia="fr-FR" w:bidi="he-IL"/>
        </w:rPr>
        <w:t xml:space="preserve"> main emissions abatement part between 2005 and 2012 is attributable to the impact of the economic crisis and EU-ETS contribution seems much lower than expected (Bel &amp; Joseph, 2015). </w:t>
      </w:r>
      <w:r w:rsidRPr="00D806D9">
        <w:rPr>
          <w:rFonts w:asciiTheme="majorBidi" w:hAnsiTheme="majorBidi" w:cstheme="majorBidi"/>
          <w:sz w:val="24"/>
          <w:szCs w:val="24"/>
          <w:lang w:val="en-US"/>
        </w:rPr>
        <w:t xml:space="preserve">In any case, the enlargement of the EU </w:t>
      </w:r>
      <w:r w:rsidRPr="00D806D9">
        <w:rPr>
          <w:rFonts w:asciiTheme="majorBidi" w:eastAsia="Times New Roman" w:hAnsiTheme="majorBidi" w:cstheme="majorBidi"/>
          <w:color w:val="000000"/>
          <w:sz w:val="24"/>
          <w:szCs w:val="24"/>
          <w:lang w:val="en-US" w:eastAsia="fr-FR" w:bidi="he-IL"/>
        </w:rPr>
        <w:t>and the economic recession were crucial drivers for EU emissions abatement</w:t>
      </w:r>
      <w:r w:rsidR="0057382F" w:rsidRPr="00D806D9">
        <w:rPr>
          <w:rFonts w:asciiTheme="majorBidi" w:eastAsia="Times New Roman" w:hAnsiTheme="majorBidi" w:cstheme="majorBidi"/>
          <w:color w:val="000000"/>
          <w:sz w:val="24"/>
          <w:szCs w:val="24"/>
          <w:lang w:val="en-US" w:eastAsia="fr-FR" w:bidi="he-IL"/>
        </w:rPr>
        <w:t xml:space="preserve"> </w:t>
      </w:r>
      <w:bookmarkStart w:id="14" w:name="_Hlk110788727"/>
      <w:r w:rsidR="0057382F" w:rsidRPr="00D806D9">
        <w:rPr>
          <w:rFonts w:asciiTheme="majorBidi" w:eastAsia="Times New Roman" w:hAnsiTheme="majorBidi" w:cstheme="majorBidi"/>
          <w:color w:val="000000"/>
          <w:sz w:val="24"/>
          <w:szCs w:val="24"/>
          <w:lang w:val="en-US" w:eastAsia="fr-FR" w:bidi="he-IL"/>
        </w:rPr>
        <w:t>(</w:t>
      </w:r>
      <w:proofErr w:type="spellStart"/>
      <w:r w:rsidR="0057382F" w:rsidRPr="00D806D9">
        <w:rPr>
          <w:rFonts w:asciiTheme="majorBidi" w:hAnsiTheme="majorBidi" w:cstheme="majorBidi"/>
          <w:sz w:val="24"/>
          <w:szCs w:val="24"/>
          <w:lang w:val="en-US"/>
        </w:rPr>
        <w:t>Borghesi</w:t>
      </w:r>
      <w:proofErr w:type="spellEnd"/>
      <w:r w:rsidR="0057382F" w:rsidRPr="00D806D9">
        <w:rPr>
          <w:rFonts w:asciiTheme="majorBidi" w:hAnsiTheme="majorBidi" w:cstheme="majorBidi"/>
          <w:sz w:val="24"/>
          <w:szCs w:val="24"/>
          <w:lang w:val="en-US"/>
        </w:rPr>
        <w:t xml:space="preserve"> &amp; </w:t>
      </w:r>
      <w:proofErr w:type="spellStart"/>
      <w:r w:rsidR="0057382F" w:rsidRPr="00D806D9">
        <w:rPr>
          <w:rFonts w:asciiTheme="majorBidi" w:hAnsiTheme="majorBidi" w:cstheme="majorBidi"/>
          <w:sz w:val="24"/>
          <w:szCs w:val="24"/>
          <w:lang w:val="en-US"/>
        </w:rPr>
        <w:t>Montini</w:t>
      </w:r>
      <w:proofErr w:type="spellEnd"/>
      <w:r w:rsidR="0057382F" w:rsidRPr="00D806D9">
        <w:rPr>
          <w:rFonts w:asciiTheme="majorBidi" w:hAnsiTheme="majorBidi" w:cstheme="majorBidi"/>
          <w:sz w:val="24"/>
          <w:szCs w:val="24"/>
          <w:lang w:val="en-US"/>
        </w:rPr>
        <w:t>, 2016</w:t>
      </w:r>
      <w:bookmarkEnd w:id="14"/>
      <w:r w:rsidR="0057382F" w:rsidRPr="00D806D9">
        <w:rPr>
          <w:rFonts w:asciiTheme="majorBidi" w:hAnsiTheme="majorBidi" w:cstheme="majorBidi"/>
          <w:sz w:val="24"/>
          <w:szCs w:val="24"/>
          <w:lang w:val="en-US"/>
        </w:rPr>
        <w:t>)</w:t>
      </w:r>
      <w:r w:rsidRPr="00D806D9">
        <w:rPr>
          <w:rFonts w:asciiTheme="majorBidi" w:eastAsia="Times New Roman" w:hAnsiTheme="majorBidi" w:cstheme="majorBidi"/>
          <w:color w:val="000000"/>
          <w:sz w:val="24"/>
          <w:szCs w:val="24"/>
          <w:lang w:val="en-US" w:eastAsia="fr-FR" w:bidi="he-IL"/>
        </w:rPr>
        <w:t>. Further</w:t>
      </w:r>
      <w:r w:rsidR="008F3D3F">
        <w:rPr>
          <w:rFonts w:asciiTheme="majorBidi" w:eastAsia="Times New Roman" w:hAnsiTheme="majorBidi" w:cstheme="majorBidi"/>
          <w:color w:val="000000"/>
          <w:sz w:val="24"/>
          <w:szCs w:val="24"/>
          <w:lang w:val="en-US" w:eastAsia="fr-FR" w:bidi="he-IL"/>
        </w:rPr>
        <w:t>more</w:t>
      </w:r>
      <w:r w:rsidRPr="00D806D9">
        <w:rPr>
          <w:rFonts w:asciiTheme="majorBidi" w:eastAsia="Times New Roman" w:hAnsiTheme="majorBidi" w:cstheme="majorBidi"/>
          <w:color w:val="000000"/>
          <w:sz w:val="24"/>
          <w:szCs w:val="24"/>
          <w:lang w:val="en-US" w:eastAsia="fr-FR" w:bidi="he-IL"/>
        </w:rPr>
        <w:t xml:space="preserve">, the effect on GHGE has been moderate when compared to the targets set by the Paris Agreement (Green, 2021). In this respect, the </w:t>
      </w:r>
      <w:bookmarkStart w:id="15" w:name="_Hlk110802128"/>
      <w:r w:rsidRPr="00D806D9">
        <w:rPr>
          <w:rFonts w:asciiTheme="majorBidi" w:eastAsia="Times New Roman" w:hAnsiTheme="majorBidi" w:cstheme="majorBidi"/>
          <w:color w:val="000000"/>
          <w:sz w:val="24"/>
          <w:szCs w:val="24"/>
          <w:lang w:val="en-US" w:eastAsia="fr-FR" w:bidi="he-IL"/>
        </w:rPr>
        <w:t xml:space="preserve">EEA </w:t>
      </w:r>
      <w:bookmarkEnd w:id="15"/>
      <w:r w:rsidRPr="00D806D9">
        <w:rPr>
          <w:rFonts w:asciiTheme="majorBidi" w:eastAsia="Times New Roman" w:hAnsiTheme="majorBidi" w:cstheme="majorBidi"/>
          <w:color w:val="000000"/>
          <w:sz w:val="24"/>
          <w:szCs w:val="24"/>
          <w:lang w:val="en-US" w:eastAsia="fr-FR" w:bidi="he-IL"/>
        </w:rPr>
        <w:t>estimates that “current ETS projections do not show the reductions in emissions needed to bring the ETS into line with the new 2030 target and to set EU emissions on a path to achieve climate neutrality in 2050.”</w:t>
      </w:r>
      <w:r w:rsidR="00CB4B99" w:rsidRPr="00D806D9">
        <w:rPr>
          <w:rFonts w:asciiTheme="majorBidi" w:eastAsia="Times New Roman" w:hAnsiTheme="majorBidi" w:cstheme="majorBidi"/>
          <w:color w:val="000000"/>
          <w:sz w:val="24"/>
          <w:szCs w:val="24"/>
          <w:lang w:val="en-US" w:eastAsia="fr-FR" w:bidi="he-IL"/>
        </w:rPr>
        <w:t xml:space="preserve"> (p.5)</w:t>
      </w:r>
      <w:r w:rsidRPr="00D806D9">
        <w:rPr>
          <w:rFonts w:asciiTheme="majorBidi" w:eastAsia="Times New Roman" w:hAnsiTheme="majorBidi" w:cstheme="majorBidi"/>
          <w:color w:val="000000"/>
          <w:sz w:val="24"/>
          <w:szCs w:val="24"/>
          <w:lang w:val="en-US" w:eastAsia="fr-FR" w:bidi="he-IL"/>
        </w:rPr>
        <w:t xml:space="preserve"> Moreover, rebound and shift effects other than geographical ones </w:t>
      </w:r>
      <w:r w:rsidR="00145A9F" w:rsidRPr="00D806D9">
        <w:rPr>
          <w:rFonts w:asciiTheme="majorBidi" w:eastAsia="Times New Roman" w:hAnsiTheme="majorBidi" w:cstheme="majorBidi"/>
          <w:color w:val="000000"/>
          <w:sz w:val="24"/>
          <w:szCs w:val="24"/>
          <w:lang w:val="en-US" w:eastAsia="fr-FR" w:bidi="he-IL"/>
        </w:rPr>
        <w:t xml:space="preserve">(carbon leakages) </w:t>
      </w:r>
      <w:r w:rsidRPr="00D806D9">
        <w:rPr>
          <w:rFonts w:asciiTheme="majorBidi" w:eastAsia="Times New Roman" w:hAnsiTheme="majorBidi" w:cstheme="majorBidi"/>
          <w:color w:val="000000"/>
          <w:sz w:val="24"/>
          <w:szCs w:val="24"/>
          <w:lang w:val="en-US" w:eastAsia="fr-FR" w:bidi="he-IL"/>
        </w:rPr>
        <w:t>could be observed in the future, the energy supply consequences of the Ukraine war in the EU being an example.</w:t>
      </w:r>
    </w:p>
    <w:p w14:paraId="68DD2B80" w14:textId="77777777" w:rsidR="00E83AE2" w:rsidRPr="00D806D9" w:rsidRDefault="00E83AE2" w:rsidP="00D806D9">
      <w:pPr>
        <w:spacing w:after="0" w:line="480" w:lineRule="auto"/>
        <w:jc w:val="both"/>
        <w:rPr>
          <w:rFonts w:asciiTheme="majorBidi" w:hAnsiTheme="majorBidi" w:cstheme="majorBidi"/>
          <w:sz w:val="24"/>
          <w:szCs w:val="24"/>
          <w:lang w:val="en-US"/>
        </w:rPr>
      </w:pPr>
    </w:p>
    <w:p w14:paraId="2AFAB427" w14:textId="33287224" w:rsidR="00033CF9" w:rsidRPr="00D806D9" w:rsidRDefault="00E83AE2" w:rsidP="00D806D9">
      <w:pPr>
        <w:spacing w:after="0" w:line="480" w:lineRule="auto"/>
        <w:ind w:firstLine="708"/>
        <w:jc w:val="both"/>
        <w:rPr>
          <w:rFonts w:asciiTheme="majorBidi" w:eastAsia="Times New Roman" w:hAnsiTheme="majorBidi" w:cstheme="majorBidi"/>
          <w:b/>
          <w:bCs/>
          <w:color w:val="000000"/>
          <w:sz w:val="24"/>
          <w:szCs w:val="24"/>
          <w:lang w:val="en-US" w:eastAsia="fr-FR" w:bidi="he-IL"/>
        </w:rPr>
      </w:pPr>
      <w:r w:rsidRPr="00D806D9">
        <w:rPr>
          <w:rFonts w:asciiTheme="majorBidi" w:hAnsiTheme="majorBidi" w:cstheme="majorBidi"/>
          <w:sz w:val="24"/>
          <w:szCs w:val="24"/>
          <w:lang w:val="en-US"/>
        </w:rPr>
        <w:t xml:space="preserve">Qualified as </w:t>
      </w:r>
      <w:r w:rsidR="000734D7">
        <w:rPr>
          <w:rFonts w:asciiTheme="majorBidi" w:hAnsiTheme="majorBidi" w:cstheme="majorBidi"/>
          <w:sz w:val="24"/>
          <w:szCs w:val="24"/>
          <w:lang w:val="en-US"/>
        </w:rPr>
        <w:t xml:space="preserve">an </w:t>
      </w:r>
      <w:r w:rsidRPr="00D806D9">
        <w:rPr>
          <w:rFonts w:asciiTheme="majorBidi" w:hAnsiTheme="majorBidi" w:cstheme="majorBidi"/>
          <w:sz w:val="24"/>
          <w:szCs w:val="24"/>
          <w:lang w:val="en-US"/>
        </w:rPr>
        <w:t>“administrative nightmare” by Baldwin (2008), the EU-ETS prove</w:t>
      </w:r>
      <w:r w:rsidR="008F3D3F">
        <w:rPr>
          <w:rFonts w:asciiTheme="majorBidi" w:hAnsiTheme="majorBidi" w:cstheme="majorBidi"/>
          <w:sz w:val="24"/>
          <w:szCs w:val="24"/>
          <w:lang w:val="en-US"/>
        </w:rPr>
        <w:t>d</w:t>
      </w:r>
      <w:r w:rsidRPr="00D806D9">
        <w:rPr>
          <w:rFonts w:asciiTheme="majorBidi" w:hAnsiTheme="majorBidi" w:cstheme="majorBidi"/>
          <w:sz w:val="24"/>
          <w:szCs w:val="24"/>
          <w:lang w:val="en-US"/>
        </w:rPr>
        <w:t xml:space="preserve"> him to be right. As </w:t>
      </w:r>
      <w:r w:rsidR="000734D7">
        <w:rPr>
          <w:rFonts w:asciiTheme="majorBidi" w:hAnsiTheme="majorBidi" w:cstheme="majorBidi"/>
          <w:sz w:val="24"/>
          <w:szCs w:val="24"/>
          <w:lang w:val="en-US"/>
        </w:rPr>
        <w:t>stated</w:t>
      </w:r>
      <w:r w:rsidRPr="00D806D9">
        <w:rPr>
          <w:rFonts w:asciiTheme="majorBidi" w:hAnsiTheme="majorBidi" w:cstheme="majorBidi"/>
          <w:sz w:val="24"/>
          <w:szCs w:val="24"/>
          <w:lang w:val="en-US"/>
        </w:rPr>
        <w:t xml:space="preserve"> </w:t>
      </w:r>
      <w:r w:rsidR="00761A6C">
        <w:rPr>
          <w:rFonts w:asciiTheme="majorBidi" w:hAnsiTheme="majorBidi" w:cstheme="majorBidi"/>
          <w:sz w:val="24"/>
          <w:szCs w:val="24"/>
          <w:lang w:val="en-US"/>
        </w:rPr>
        <w:t xml:space="preserve">by </w:t>
      </w:r>
      <w:r w:rsidRPr="00D806D9">
        <w:rPr>
          <w:rFonts w:asciiTheme="majorBidi" w:hAnsiTheme="majorBidi" w:cstheme="majorBidi"/>
          <w:sz w:val="24"/>
          <w:szCs w:val="24"/>
          <w:lang w:val="en-US"/>
        </w:rPr>
        <w:t>Sato et al. (2022), the EU-ETS regulatory design is a “complex tug-of-war between environmental ambition, principles of aggregate economic efficiency, and the politics of distribution” (p.3). Even though the EC defends the point that EUA price should not “become primarily a product of administrative and political decisions (or expectations about them), [but] rather than a result of the interplay of market supply and demand”</w:t>
      </w:r>
      <w:r w:rsidR="00141B38" w:rsidRPr="00D806D9">
        <w:rPr>
          <w:rFonts w:asciiTheme="majorBidi" w:hAnsiTheme="majorBidi" w:cstheme="majorBidi"/>
          <w:sz w:val="24"/>
          <w:szCs w:val="24"/>
          <w:lang w:val="en-US"/>
        </w:rPr>
        <w:t xml:space="preserve"> (EC, 2012, p.10)</w:t>
      </w:r>
      <w:r w:rsidRPr="00D806D9">
        <w:rPr>
          <w:rFonts w:asciiTheme="majorBidi" w:hAnsiTheme="majorBidi" w:cstheme="majorBidi"/>
          <w:sz w:val="24"/>
          <w:szCs w:val="24"/>
          <w:lang w:val="en-US"/>
        </w:rPr>
        <w:t xml:space="preserve">, the regulator owns an unchallengeable market power. EU-ETS tends to stabilize its operationality through better mechanisms allowing for its “free price under constraints” formation </w:t>
      </w:r>
      <w:r w:rsidR="008F3D3F">
        <w:rPr>
          <w:rFonts w:asciiTheme="majorBidi" w:hAnsiTheme="majorBidi" w:cstheme="majorBidi"/>
          <w:sz w:val="24"/>
          <w:szCs w:val="24"/>
          <w:lang w:val="en-US"/>
        </w:rPr>
        <w:t xml:space="preserve">to </w:t>
      </w:r>
      <w:r w:rsidRPr="00D806D9">
        <w:rPr>
          <w:rFonts w:asciiTheme="majorBidi" w:hAnsiTheme="majorBidi" w:cstheme="majorBidi"/>
          <w:sz w:val="24"/>
          <w:szCs w:val="24"/>
          <w:lang w:val="en-US"/>
        </w:rPr>
        <w:t xml:space="preserve">being more predictable to ease </w:t>
      </w:r>
      <w:r w:rsidRPr="00D806D9">
        <w:rPr>
          <w:rFonts w:asciiTheme="majorBidi" w:hAnsiTheme="majorBidi" w:cstheme="majorBidi"/>
          <w:sz w:val="24"/>
          <w:szCs w:val="24"/>
          <w:lang w:val="en-US"/>
        </w:rPr>
        <w:lastRenderedPageBreak/>
        <w:t xml:space="preserve">agents’ anticipations. </w:t>
      </w:r>
      <w:r w:rsidR="000734D7">
        <w:rPr>
          <w:rFonts w:asciiTheme="majorBidi" w:hAnsiTheme="majorBidi" w:cstheme="majorBidi"/>
          <w:sz w:val="24"/>
          <w:szCs w:val="24"/>
          <w:lang w:val="en-US"/>
        </w:rPr>
        <w:t>Reduced</w:t>
      </w:r>
      <w:r w:rsidRPr="00D806D9">
        <w:rPr>
          <w:rFonts w:asciiTheme="majorBidi" w:hAnsiTheme="majorBidi" w:cstheme="majorBidi"/>
          <w:sz w:val="24"/>
          <w:szCs w:val="24"/>
          <w:lang w:val="en-US"/>
        </w:rPr>
        <w:t xml:space="preserve"> volatility would allow the system to ensure financial foreseeability for </w:t>
      </w:r>
      <w:r w:rsidR="00730ABA" w:rsidRPr="00D806D9">
        <w:rPr>
          <w:rFonts w:asciiTheme="majorBidi" w:hAnsiTheme="majorBidi" w:cstheme="majorBidi"/>
          <w:sz w:val="24"/>
          <w:szCs w:val="24"/>
          <w:lang w:val="en-US"/>
        </w:rPr>
        <w:t xml:space="preserve">LCH and </w:t>
      </w:r>
      <w:r w:rsidR="000734D7">
        <w:rPr>
          <w:rFonts w:asciiTheme="majorBidi" w:hAnsiTheme="majorBidi" w:cstheme="majorBidi"/>
          <w:sz w:val="24"/>
          <w:szCs w:val="24"/>
          <w:lang w:val="en-US"/>
        </w:rPr>
        <w:t>other</w:t>
      </w:r>
      <w:r w:rsidR="00730ABA" w:rsidRPr="00D806D9">
        <w:rPr>
          <w:rFonts w:asciiTheme="majorBidi" w:hAnsiTheme="majorBidi" w:cstheme="majorBidi"/>
          <w:sz w:val="24"/>
          <w:szCs w:val="24"/>
          <w:lang w:val="en-US"/>
        </w:rPr>
        <w:t xml:space="preserve"> eco-innovative </w:t>
      </w:r>
      <w:r w:rsidRPr="00D806D9">
        <w:rPr>
          <w:rFonts w:asciiTheme="majorBidi" w:hAnsiTheme="majorBidi" w:cstheme="majorBidi"/>
          <w:sz w:val="24"/>
          <w:szCs w:val="24"/>
          <w:lang w:val="en-US"/>
        </w:rPr>
        <w:t>project</w:t>
      </w:r>
      <w:r w:rsidR="000734D7">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financing and, together with a higher price, their viability. </w:t>
      </w:r>
      <w:r w:rsidR="00A23312" w:rsidRPr="00D806D9">
        <w:rPr>
          <w:rFonts w:asciiTheme="majorBidi" w:hAnsiTheme="majorBidi" w:cstheme="majorBidi"/>
          <w:sz w:val="24"/>
          <w:szCs w:val="24"/>
          <w:lang w:val="en-US"/>
        </w:rPr>
        <w:t xml:space="preserve">If </w:t>
      </w:r>
      <w:r w:rsidR="000734D7">
        <w:rPr>
          <w:rFonts w:asciiTheme="majorBidi" w:hAnsiTheme="majorBidi" w:cstheme="majorBidi"/>
          <w:sz w:val="24"/>
          <w:szCs w:val="24"/>
          <w:lang w:val="en-US"/>
        </w:rPr>
        <w:t>the</w:t>
      </w:r>
      <w:r w:rsidR="00A23312" w:rsidRPr="00D806D9">
        <w:rPr>
          <w:rFonts w:asciiTheme="majorBidi" w:hAnsiTheme="majorBidi" w:cstheme="majorBidi"/>
          <w:sz w:val="24"/>
          <w:szCs w:val="24"/>
          <w:lang w:val="en-US"/>
        </w:rPr>
        <w:t xml:space="preserve"> war in Ukraine </w:t>
      </w:r>
      <w:r w:rsidR="00730ABA" w:rsidRPr="00D806D9">
        <w:rPr>
          <w:rFonts w:asciiTheme="majorBidi" w:hAnsiTheme="majorBidi" w:cstheme="majorBidi"/>
          <w:sz w:val="24"/>
          <w:szCs w:val="24"/>
          <w:lang w:val="en-US"/>
        </w:rPr>
        <w:t>accelerate</w:t>
      </w:r>
      <w:r w:rsidR="00A23312" w:rsidRPr="00D806D9">
        <w:rPr>
          <w:rFonts w:asciiTheme="majorBidi" w:hAnsiTheme="majorBidi" w:cstheme="majorBidi"/>
          <w:sz w:val="24"/>
          <w:szCs w:val="24"/>
          <w:lang w:val="en-US"/>
        </w:rPr>
        <w:t>d</w:t>
      </w:r>
      <w:r w:rsidR="00730ABA" w:rsidRPr="00D806D9">
        <w:rPr>
          <w:rFonts w:asciiTheme="majorBidi" w:hAnsiTheme="majorBidi" w:cstheme="majorBidi"/>
          <w:sz w:val="24"/>
          <w:szCs w:val="24"/>
          <w:lang w:val="en-US"/>
        </w:rPr>
        <w:t xml:space="preserve"> the EC’s proposal of</w:t>
      </w:r>
      <w:r w:rsidRPr="00D806D9">
        <w:rPr>
          <w:rFonts w:asciiTheme="majorBidi" w:hAnsiTheme="majorBidi" w:cstheme="majorBidi"/>
          <w:sz w:val="24"/>
          <w:szCs w:val="24"/>
          <w:lang w:val="en-US"/>
        </w:rPr>
        <w:t xml:space="preserve"> CCfD for LCH</w:t>
      </w:r>
      <w:r w:rsidR="00A23312" w:rsidRPr="00D806D9">
        <w:rPr>
          <w:rFonts w:asciiTheme="majorBidi" w:hAnsiTheme="majorBidi" w:cstheme="majorBidi"/>
          <w:sz w:val="24"/>
          <w:szCs w:val="24"/>
          <w:lang w:val="en-US"/>
        </w:rPr>
        <w:t>, it did not change the legal or institutional fundamentals of the EU-ETS.</w:t>
      </w:r>
      <w:r w:rsidRPr="00D806D9">
        <w:rPr>
          <w:rFonts w:asciiTheme="majorBidi" w:hAnsiTheme="majorBidi" w:cstheme="majorBidi"/>
          <w:sz w:val="24"/>
          <w:szCs w:val="24"/>
          <w:lang w:val="en-US"/>
        </w:rPr>
        <w:t xml:space="preserve"> </w:t>
      </w:r>
      <w:r w:rsidR="0055513C" w:rsidRPr="00D806D9">
        <w:rPr>
          <w:rFonts w:asciiTheme="majorBidi" w:hAnsiTheme="majorBidi" w:cstheme="majorBidi"/>
          <w:sz w:val="24"/>
          <w:szCs w:val="24"/>
          <w:lang w:val="en-US"/>
        </w:rPr>
        <w:t>Section 4</w:t>
      </w:r>
      <w:r w:rsidRPr="00D806D9">
        <w:rPr>
          <w:rFonts w:asciiTheme="majorBidi" w:hAnsiTheme="majorBidi" w:cstheme="majorBidi"/>
          <w:sz w:val="24"/>
          <w:szCs w:val="24"/>
          <w:lang w:val="en-US"/>
        </w:rPr>
        <w:t xml:space="preserve"> will now examine </w:t>
      </w:r>
      <w:r w:rsidR="00A23312" w:rsidRPr="00D806D9">
        <w:rPr>
          <w:rFonts w:asciiTheme="majorBidi" w:hAnsiTheme="majorBidi" w:cstheme="majorBidi"/>
          <w:sz w:val="24"/>
          <w:szCs w:val="24"/>
          <w:lang w:val="en-US"/>
        </w:rPr>
        <w:t>this contractual mechanism</w:t>
      </w:r>
      <w:r w:rsidRPr="00D806D9">
        <w:rPr>
          <w:rFonts w:asciiTheme="majorBidi" w:hAnsiTheme="majorBidi" w:cstheme="majorBidi"/>
          <w:sz w:val="24"/>
          <w:szCs w:val="24"/>
          <w:lang w:val="en-US"/>
        </w:rPr>
        <w:t>.</w:t>
      </w:r>
      <w:r w:rsidR="00033CF9" w:rsidRPr="00D806D9">
        <w:rPr>
          <w:rFonts w:asciiTheme="majorBidi" w:hAnsiTheme="majorBidi" w:cstheme="majorBidi"/>
          <w:color w:val="FF0000"/>
          <w:sz w:val="24"/>
          <w:szCs w:val="24"/>
          <w:lang w:val="en-US"/>
        </w:rPr>
        <w:br w:type="page"/>
      </w:r>
      <w:r w:rsidR="00033CF9" w:rsidRPr="00D806D9">
        <w:rPr>
          <w:rFonts w:asciiTheme="majorBidi" w:eastAsia="Times New Roman" w:hAnsiTheme="majorBidi" w:cstheme="majorBidi"/>
          <w:b/>
          <w:bCs/>
          <w:color w:val="000000"/>
          <w:sz w:val="24"/>
          <w:szCs w:val="24"/>
          <w:lang w:val="en-US" w:eastAsia="fr-FR" w:bidi="he-IL"/>
        </w:rPr>
        <w:lastRenderedPageBreak/>
        <w:t>Section 4</w:t>
      </w:r>
      <w:r w:rsidR="00E0043B" w:rsidRPr="00D806D9">
        <w:rPr>
          <w:rFonts w:asciiTheme="majorBidi" w:eastAsia="Times New Roman" w:hAnsiTheme="majorBidi" w:cstheme="majorBidi"/>
          <w:b/>
          <w:bCs/>
          <w:color w:val="000000"/>
          <w:sz w:val="24"/>
          <w:szCs w:val="24"/>
          <w:lang w:val="en-US" w:eastAsia="fr-FR" w:bidi="he-IL"/>
        </w:rPr>
        <w:tab/>
      </w:r>
      <w:r w:rsidR="00033CF9" w:rsidRPr="00D806D9">
        <w:rPr>
          <w:rFonts w:asciiTheme="majorBidi" w:eastAsia="Times New Roman" w:hAnsiTheme="majorBidi" w:cstheme="majorBidi"/>
          <w:b/>
          <w:bCs/>
          <w:color w:val="000000"/>
          <w:sz w:val="24"/>
          <w:szCs w:val="24"/>
          <w:lang w:val="en-US" w:eastAsia="fr-FR" w:bidi="he-IL"/>
        </w:rPr>
        <w:t xml:space="preserve">CCfD </w:t>
      </w:r>
      <w:r w:rsidR="00E0043B" w:rsidRPr="00D806D9">
        <w:rPr>
          <w:rFonts w:asciiTheme="majorBidi" w:eastAsia="Times New Roman" w:hAnsiTheme="majorBidi" w:cstheme="majorBidi"/>
          <w:b/>
          <w:bCs/>
          <w:color w:val="000000"/>
          <w:sz w:val="24"/>
          <w:szCs w:val="24"/>
          <w:lang w:val="en-US" w:eastAsia="fr-FR" w:bidi="he-IL"/>
        </w:rPr>
        <w:t xml:space="preserve">to boost LCH in Europe, </w:t>
      </w:r>
      <w:r w:rsidR="00033CF9" w:rsidRPr="00D806D9">
        <w:rPr>
          <w:rFonts w:asciiTheme="majorBidi" w:eastAsia="Times New Roman" w:hAnsiTheme="majorBidi" w:cstheme="majorBidi"/>
          <w:b/>
          <w:bCs/>
          <w:color w:val="000000"/>
          <w:sz w:val="24"/>
          <w:szCs w:val="24"/>
          <w:lang w:val="en-US" w:eastAsia="fr-FR" w:bidi="he-IL"/>
        </w:rPr>
        <w:t>an efficient instrument?</w:t>
      </w:r>
    </w:p>
    <w:p w14:paraId="6EDE1182" w14:textId="719E8780" w:rsidR="00033CF9" w:rsidRPr="00D806D9" w:rsidRDefault="00033CF9" w:rsidP="00D806D9">
      <w:pPr>
        <w:spacing w:after="0" w:line="480" w:lineRule="auto"/>
        <w:jc w:val="both"/>
        <w:textAlignment w:val="baseline"/>
        <w:rPr>
          <w:rFonts w:asciiTheme="majorBidi" w:hAnsiTheme="majorBidi" w:cstheme="majorBidi"/>
          <w:sz w:val="24"/>
          <w:szCs w:val="24"/>
          <w:lang w:val="en-US"/>
        </w:rPr>
      </w:pPr>
    </w:p>
    <w:p w14:paraId="5852A428" w14:textId="6A597E4D" w:rsidR="00033CF9" w:rsidRPr="00D806D9" w:rsidRDefault="00BD555B" w:rsidP="00D806D9">
      <w:pPr>
        <w:spacing w:after="0" w:line="480" w:lineRule="auto"/>
        <w:ind w:firstLine="708"/>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hAnsiTheme="majorBidi" w:cstheme="majorBidi"/>
          <w:b/>
          <w:bCs/>
          <w:noProof/>
          <w:sz w:val="24"/>
          <w:szCs w:val="24"/>
          <w:lang w:val="en-US"/>
        </w:rPr>
        <w:drawing>
          <wp:anchor distT="180340" distB="180340" distL="114300" distR="114300" simplePos="0" relativeHeight="251672576" behindDoc="0" locked="0" layoutInCell="1" allowOverlap="1" wp14:anchorId="44B6DCD1" wp14:editId="7F2EF764">
            <wp:simplePos x="0" y="0"/>
            <wp:positionH relativeFrom="margin">
              <wp:align>right</wp:align>
            </wp:positionH>
            <wp:positionV relativeFrom="paragraph">
              <wp:posOffset>4858828</wp:posOffset>
            </wp:positionV>
            <wp:extent cx="5400000" cy="2782800"/>
            <wp:effectExtent l="19050" t="19050" r="10795" b="17780"/>
            <wp:wrapTopAndBottom/>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00000" cy="27828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033CF9" w:rsidRPr="00D806D9">
        <w:rPr>
          <w:rFonts w:asciiTheme="majorBidi" w:hAnsiTheme="majorBidi" w:cstheme="majorBidi"/>
          <w:sz w:val="24"/>
          <w:szCs w:val="24"/>
          <w:lang w:val="en-US"/>
        </w:rPr>
        <w:t xml:space="preserve">Hydrogen represents the major sector </w:t>
      </w:r>
      <w:r w:rsidR="00E32FF3" w:rsidRPr="00D806D9">
        <w:rPr>
          <w:rFonts w:asciiTheme="majorBidi" w:hAnsiTheme="majorBidi" w:cstheme="majorBidi"/>
          <w:sz w:val="24"/>
          <w:szCs w:val="24"/>
          <w:lang w:val="en-US"/>
        </w:rPr>
        <w:t xml:space="preserve">being supported by </w:t>
      </w:r>
      <w:r w:rsidR="00033CF9" w:rsidRPr="00D806D9">
        <w:rPr>
          <w:rFonts w:asciiTheme="majorBidi" w:hAnsiTheme="majorBidi" w:cstheme="majorBidi"/>
          <w:sz w:val="24"/>
          <w:szCs w:val="24"/>
          <w:lang w:val="en-US"/>
        </w:rPr>
        <w:t>the IF</w:t>
      </w:r>
      <w:r w:rsidR="009349A8" w:rsidRPr="00D806D9">
        <w:rPr>
          <w:rFonts w:asciiTheme="majorBidi" w:hAnsiTheme="majorBidi" w:cstheme="majorBidi"/>
          <w:sz w:val="24"/>
          <w:szCs w:val="24"/>
          <w:lang w:val="en-US"/>
        </w:rPr>
        <w:t xml:space="preserve"> and is present in other of its projects</w:t>
      </w:r>
      <w:r w:rsidR="00033CF9" w:rsidRPr="00D806D9">
        <w:rPr>
          <w:rFonts w:asciiTheme="majorBidi" w:hAnsiTheme="majorBidi" w:cstheme="majorBidi"/>
          <w:sz w:val="24"/>
          <w:szCs w:val="24"/>
          <w:lang w:val="en-US"/>
        </w:rPr>
        <w:t xml:space="preserve">. Its first </w:t>
      </w:r>
      <w:r w:rsidR="000734D7">
        <w:rPr>
          <w:rFonts w:asciiTheme="majorBidi" w:hAnsiTheme="majorBidi" w:cstheme="majorBidi"/>
          <w:sz w:val="24"/>
          <w:szCs w:val="24"/>
          <w:lang w:val="en-US"/>
        </w:rPr>
        <w:t>large-scale</w:t>
      </w:r>
      <w:r w:rsidR="00033CF9" w:rsidRPr="00D806D9">
        <w:rPr>
          <w:rFonts w:asciiTheme="majorBidi" w:hAnsiTheme="majorBidi" w:cstheme="majorBidi"/>
          <w:sz w:val="24"/>
          <w:szCs w:val="24"/>
          <w:lang w:val="en-US"/>
        </w:rPr>
        <w:t xml:space="preserve"> call (LSC) to projects attributed an average of 157 million euros per project, the related agreements having been signed in Q1 2022. The second one will involve </w:t>
      </w:r>
      <w:r w:rsidR="000734D7">
        <w:rPr>
          <w:rFonts w:asciiTheme="majorBidi" w:hAnsiTheme="majorBidi" w:cstheme="majorBidi"/>
          <w:sz w:val="24"/>
          <w:szCs w:val="24"/>
          <w:lang w:val="en-US"/>
        </w:rPr>
        <w:t>a</w:t>
      </w:r>
      <w:r w:rsidR="00033CF9" w:rsidRPr="00D806D9">
        <w:rPr>
          <w:rFonts w:asciiTheme="majorBidi" w:hAnsiTheme="majorBidi" w:cstheme="majorBidi"/>
          <w:sz w:val="24"/>
          <w:szCs w:val="24"/>
          <w:lang w:val="en-US"/>
        </w:rPr>
        <w:t xml:space="preserve"> 1.5 billion euros investment </w:t>
      </w:r>
      <w:r w:rsidR="000734D7">
        <w:rPr>
          <w:rFonts w:asciiTheme="majorBidi" w:hAnsiTheme="majorBidi" w:cstheme="majorBidi"/>
          <w:sz w:val="24"/>
          <w:szCs w:val="24"/>
          <w:lang w:val="en-US"/>
        </w:rPr>
        <w:t>and</w:t>
      </w:r>
      <w:r w:rsidR="00033CF9" w:rsidRPr="00D806D9">
        <w:rPr>
          <w:rFonts w:asciiTheme="majorBidi" w:hAnsiTheme="majorBidi" w:cstheme="majorBidi"/>
          <w:sz w:val="24"/>
          <w:szCs w:val="24"/>
          <w:lang w:val="en-US"/>
        </w:rPr>
        <w:t xml:space="preserve"> grants awarded should be communicated in Q4 2022. As seen, </w:t>
      </w:r>
      <w:r w:rsidR="000734D7">
        <w:rPr>
          <w:rFonts w:asciiTheme="majorBidi" w:hAnsiTheme="majorBidi" w:cstheme="majorBidi"/>
          <w:sz w:val="24"/>
          <w:szCs w:val="24"/>
          <w:lang w:val="en-US"/>
        </w:rPr>
        <w:t xml:space="preserve">the </w:t>
      </w:r>
      <w:r w:rsidR="00033CF9" w:rsidRPr="00D806D9">
        <w:rPr>
          <w:rFonts w:asciiTheme="majorBidi" w:eastAsia="Times New Roman" w:hAnsiTheme="majorBidi" w:cstheme="majorBidi"/>
          <w:color w:val="000000"/>
          <w:sz w:val="24"/>
          <w:szCs w:val="24"/>
          <w:lang w:val="en-US" w:eastAsia="fr-FR" w:bidi="he-IL"/>
        </w:rPr>
        <w:t xml:space="preserve">EUA price remains too low to allow </w:t>
      </w:r>
      <w:r w:rsidR="000734D7">
        <w:rPr>
          <w:rFonts w:asciiTheme="majorBidi" w:eastAsia="Times New Roman" w:hAnsiTheme="majorBidi" w:cstheme="majorBidi"/>
          <w:color w:val="000000"/>
          <w:sz w:val="24"/>
          <w:szCs w:val="24"/>
          <w:lang w:val="en-US" w:eastAsia="fr-FR" w:bidi="he-IL"/>
        </w:rPr>
        <w:t xml:space="preserve">a </w:t>
      </w:r>
      <w:r w:rsidR="00033CF9" w:rsidRPr="00D806D9">
        <w:rPr>
          <w:rFonts w:asciiTheme="majorBidi" w:eastAsia="Times New Roman" w:hAnsiTheme="majorBidi" w:cstheme="majorBidi"/>
          <w:color w:val="000000"/>
          <w:sz w:val="24"/>
          <w:szCs w:val="24"/>
          <w:lang w:val="en-US" w:eastAsia="fr-FR" w:bidi="he-IL"/>
        </w:rPr>
        <w:t>viable business case for large investments in LCH technologies. Because of this and to substitute EU’s reliance on Russia’s energy imports, the EC announced a doubling of both its 2020</w:t>
      </w:r>
      <w:r w:rsidR="00033CF9" w:rsidRPr="00D806D9">
        <w:rPr>
          <w:rFonts w:asciiTheme="majorBidi" w:eastAsia="Times New Roman" w:hAnsiTheme="majorBidi" w:cstheme="majorBidi"/>
          <w:sz w:val="24"/>
          <w:szCs w:val="24"/>
          <w:lang w:val="en-US" w:eastAsia="fr-FR" w:bidi="he-IL"/>
        </w:rPr>
        <w:t xml:space="preserve"> LCH production target for 2030 and IF’s capitals for its third LSC starting in Q1 2023 as well as the implementation of CCfD (EC, 2022</w:t>
      </w:r>
      <w:r w:rsidR="00D03A58" w:rsidRPr="00D806D9">
        <w:rPr>
          <w:rFonts w:asciiTheme="majorBidi" w:eastAsia="Times New Roman" w:hAnsiTheme="majorBidi" w:cstheme="majorBidi"/>
          <w:sz w:val="24"/>
          <w:szCs w:val="24"/>
          <w:lang w:val="en-US" w:eastAsia="fr-FR" w:bidi="he-IL"/>
        </w:rPr>
        <w:t>b</w:t>
      </w:r>
      <w:r w:rsidR="00033CF9" w:rsidRPr="00D806D9">
        <w:rPr>
          <w:rFonts w:asciiTheme="majorBidi" w:eastAsia="Times New Roman" w:hAnsiTheme="majorBidi" w:cstheme="majorBidi"/>
          <w:sz w:val="24"/>
          <w:szCs w:val="24"/>
          <w:lang w:val="en-US" w:eastAsia="fr-FR" w:bidi="he-IL"/>
        </w:rPr>
        <w:t xml:space="preserve">). First </w:t>
      </w:r>
      <w:r w:rsidR="00033CF9" w:rsidRPr="00D806D9">
        <w:rPr>
          <w:rFonts w:asciiTheme="majorBidi" w:eastAsia="Times New Roman" w:hAnsiTheme="majorBidi" w:cstheme="majorBidi"/>
          <w:color w:val="000000"/>
          <w:sz w:val="24"/>
          <w:szCs w:val="24"/>
          <w:lang w:val="en-US" w:eastAsia="fr-FR" w:bidi="he-IL"/>
        </w:rPr>
        <w:t xml:space="preserve">proposed by </w:t>
      </w:r>
      <w:bookmarkStart w:id="16" w:name="_Hlk110084218"/>
      <w:r w:rsidR="00033CF9" w:rsidRPr="00D806D9">
        <w:rPr>
          <w:rFonts w:asciiTheme="majorBidi" w:eastAsia="Times New Roman" w:hAnsiTheme="majorBidi" w:cstheme="majorBidi"/>
          <w:color w:val="000000"/>
          <w:sz w:val="24"/>
          <w:szCs w:val="24"/>
          <w:lang w:val="en-US" w:eastAsia="fr-FR" w:bidi="he-IL"/>
        </w:rPr>
        <w:t>Helm and Hepburn (2005)</w:t>
      </w:r>
      <w:bookmarkEnd w:id="16"/>
      <w:r w:rsidR="00033CF9" w:rsidRPr="00D806D9">
        <w:rPr>
          <w:rFonts w:asciiTheme="majorBidi" w:eastAsia="Times New Roman" w:hAnsiTheme="majorBidi" w:cstheme="majorBidi"/>
          <w:color w:val="000000"/>
          <w:sz w:val="24"/>
          <w:szCs w:val="24"/>
          <w:lang w:val="en-US" w:eastAsia="fr-FR" w:bidi="he-IL"/>
        </w:rPr>
        <w:t xml:space="preserve">, CCfD is presented as an additional incentive tool for the IF to support innovative projects by removing remaining technological and financial risks. If it is a </w:t>
      </w:r>
      <w:r w:rsidR="000734D7">
        <w:rPr>
          <w:rFonts w:asciiTheme="majorBidi" w:eastAsia="Times New Roman" w:hAnsiTheme="majorBidi" w:cstheme="majorBidi"/>
          <w:color w:val="000000"/>
          <w:sz w:val="24"/>
          <w:szCs w:val="24"/>
          <w:lang w:val="en-US" w:eastAsia="fr-FR" w:bidi="he-IL"/>
        </w:rPr>
        <w:t>theoretical</w:t>
      </w:r>
      <w:r w:rsidR="00033CF9" w:rsidRPr="00D806D9">
        <w:rPr>
          <w:rFonts w:asciiTheme="majorBidi" w:eastAsia="Times New Roman" w:hAnsiTheme="majorBidi" w:cstheme="majorBidi"/>
          <w:color w:val="000000"/>
          <w:sz w:val="24"/>
          <w:szCs w:val="24"/>
          <w:lang w:val="en-US" w:eastAsia="fr-FR" w:bidi="he-IL"/>
        </w:rPr>
        <w:t xml:space="preserve"> attractive instrument, the practicality and implications of its implementation could prove to be more complicated.</w:t>
      </w:r>
    </w:p>
    <w:p w14:paraId="4093AA32" w14:textId="090930EA" w:rsidR="009349A8" w:rsidRPr="00D806D9" w:rsidRDefault="009349A8" w:rsidP="00D806D9">
      <w:pPr>
        <w:spacing w:after="0" w:line="480" w:lineRule="auto"/>
        <w:ind w:left="1418" w:hanging="710"/>
        <w:jc w:val="both"/>
        <w:textAlignment w:val="baseline"/>
        <w:rPr>
          <w:rFonts w:asciiTheme="majorBidi" w:hAnsiTheme="majorBidi" w:cstheme="majorBidi"/>
          <w:b/>
          <w:bCs/>
          <w:sz w:val="24"/>
          <w:szCs w:val="24"/>
          <w:lang w:val="en-US"/>
        </w:rPr>
      </w:pPr>
    </w:p>
    <w:p w14:paraId="1F227EB2" w14:textId="0C65A261" w:rsidR="00033CF9" w:rsidRPr="00D806D9" w:rsidRDefault="00033CF9" w:rsidP="00D806D9">
      <w:pPr>
        <w:spacing w:after="0" w:line="480" w:lineRule="auto"/>
        <w:ind w:left="1418" w:hanging="710"/>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4.1.</w:t>
      </w:r>
      <w:r w:rsidRPr="00D806D9">
        <w:rPr>
          <w:rFonts w:asciiTheme="majorBidi" w:hAnsiTheme="majorBidi" w:cstheme="majorBidi"/>
          <w:b/>
          <w:bCs/>
          <w:sz w:val="24"/>
          <w:szCs w:val="24"/>
          <w:lang w:val="en-US"/>
        </w:rPr>
        <w:tab/>
        <w:t xml:space="preserve">An attractive instrument to reinforce projects’ financial viability </w:t>
      </w:r>
    </w:p>
    <w:p w14:paraId="09632791" w14:textId="77777777" w:rsidR="00033CF9" w:rsidRPr="00D806D9" w:rsidRDefault="00033CF9" w:rsidP="00D806D9">
      <w:pPr>
        <w:spacing w:after="0" w:line="480" w:lineRule="auto"/>
        <w:jc w:val="both"/>
        <w:rPr>
          <w:rFonts w:asciiTheme="majorBidi" w:hAnsiTheme="majorBidi" w:cstheme="majorBidi"/>
          <w:b/>
          <w:bCs/>
          <w:sz w:val="24"/>
          <w:szCs w:val="24"/>
          <w:lang w:val="en-US"/>
        </w:rPr>
      </w:pPr>
    </w:p>
    <w:p w14:paraId="3BF1A24B" w14:textId="4B80BEF4" w:rsidR="00033CF9" w:rsidRPr="00D806D9" w:rsidRDefault="002819AE"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noProof/>
          <w:color w:val="000000"/>
          <w:sz w:val="24"/>
          <w:szCs w:val="24"/>
          <w:lang w:val="en-US" w:eastAsia="fr-FR" w:bidi="he-IL"/>
        </w:rPr>
        <w:drawing>
          <wp:anchor distT="180340" distB="180340" distL="114300" distR="114300" simplePos="0" relativeHeight="251675648" behindDoc="0" locked="0" layoutInCell="1" allowOverlap="1" wp14:anchorId="3CCA1969" wp14:editId="2A0CE423">
            <wp:simplePos x="0" y="0"/>
            <wp:positionH relativeFrom="margin">
              <wp:align>center</wp:align>
            </wp:positionH>
            <wp:positionV relativeFrom="paragraph">
              <wp:posOffset>2672032</wp:posOffset>
            </wp:positionV>
            <wp:extent cx="5209200" cy="4068000"/>
            <wp:effectExtent l="19050" t="19050" r="10795" b="27940"/>
            <wp:wrapTopAndBottom/>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209200" cy="40680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033CF9" w:rsidRPr="00D806D9">
        <w:rPr>
          <w:rFonts w:asciiTheme="majorBidi" w:eastAsia="Times New Roman" w:hAnsiTheme="majorBidi" w:cstheme="majorBidi"/>
          <w:color w:val="000000"/>
          <w:sz w:val="24"/>
          <w:szCs w:val="24"/>
          <w:lang w:val="en-US" w:eastAsia="fr-FR" w:bidi="he-IL"/>
        </w:rPr>
        <w:t xml:space="preserve">CCfD </w:t>
      </w:r>
      <w:r w:rsidR="00634551">
        <w:rPr>
          <w:rFonts w:asciiTheme="majorBidi" w:eastAsia="Times New Roman" w:hAnsiTheme="majorBidi" w:cstheme="majorBidi"/>
          <w:color w:val="000000"/>
          <w:sz w:val="24"/>
          <w:szCs w:val="24"/>
          <w:lang w:val="en-US" w:eastAsia="fr-FR" w:bidi="he-IL"/>
        </w:rPr>
        <w:t>are</w:t>
      </w:r>
      <w:r w:rsidR="00033CF9" w:rsidRPr="00D806D9">
        <w:rPr>
          <w:rFonts w:asciiTheme="majorBidi" w:eastAsia="Times New Roman" w:hAnsiTheme="majorBidi" w:cstheme="majorBidi"/>
          <w:color w:val="000000"/>
          <w:sz w:val="24"/>
          <w:szCs w:val="24"/>
          <w:lang w:val="en-US" w:eastAsia="fr-FR" w:bidi="he-IL"/>
        </w:rPr>
        <w:t xml:space="preserve"> contractual arrangement</w:t>
      </w:r>
      <w:r w:rsidR="00634551">
        <w:rPr>
          <w:rFonts w:asciiTheme="majorBidi" w:eastAsia="Times New Roman" w:hAnsiTheme="majorBidi" w:cstheme="majorBidi"/>
          <w:color w:val="000000"/>
          <w:sz w:val="24"/>
          <w:szCs w:val="24"/>
          <w:lang w:val="en-US" w:eastAsia="fr-FR" w:bidi="he-IL"/>
        </w:rPr>
        <w:t>s</w:t>
      </w:r>
      <w:r w:rsidR="00033CF9" w:rsidRPr="00D806D9">
        <w:rPr>
          <w:rFonts w:asciiTheme="majorBidi" w:eastAsia="Times New Roman" w:hAnsiTheme="majorBidi" w:cstheme="majorBidi"/>
          <w:color w:val="000000"/>
          <w:sz w:val="24"/>
          <w:szCs w:val="24"/>
          <w:lang w:val="en-US" w:eastAsia="fr-FR" w:bidi="he-IL"/>
        </w:rPr>
        <w:t xml:space="preserve"> through which public authorities agree with an agent on an </w:t>
      </w:r>
      <w:r w:rsidR="000734D7">
        <w:rPr>
          <w:rFonts w:asciiTheme="majorBidi" w:eastAsia="Times New Roman" w:hAnsiTheme="majorBidi" w:cstheme="majorBidi"/>
          <w:i/>
          <w:iCs/>
          <w:color w:val="000000"/>
          <w:sz w:val="24"/>
          <w:szCs w:val="24"/>
          <w:lang w:val="en-US" w:eastAsia="fr-FR" w:bidi="he-IL"/>
        </w:rPr>
        <w:t>ex-ante</w:t>
      </w:r>
      <w:r w:rsidR="00033CF9" w:rsidRPr="00D806D9">
        <w:rPr>
          <w:rFonts w:asciiTheme="majorBidi" w:eastAsia="Times New Roman" w:hAnsiTheme="majorBidi" w:cstheme="majorBidi"/>
          <w:color w:val="000000"/>
          <w:sz w:val="24"/>
          <w:szCs w:val="24"/>
          <w:lang w:val="en-US" w:eastAsia="fr-FR" w:bidi="he-IL"/>
        </w:rPr>
        <w:t xml:space="preserve"> fixed EUA price, called strike price, over a given </w:t>
      </w:r>
      <w:r w:rsidR="00E010AD">
        <w:rPr>
          <w:rFonts w:asciiTheme="majorBidi" w:eastAsia="Times New Roman" w:hAnsiTheme="majorBidi" w:cstheme="majorBidi"/>
          <w:color w:val="000000"/>
          <w:sz w:val="24"/>
          <w:szCs w:val="24"/>
          <w:lang w:val="en-US" w:eastAsia="fr-FR" w:bidi="he-IL"/>
        </w:rPr>
        <w:t>period</w:t>
      </w:r>
      <w:r w:rsidR="00033CF9" w:rsidRPr="00D806D9">
        <w:rPr>
          <w:rFonts w:asciiTheme="majorBidi" w:eastAsia="Times New Roman" w:hAnsiTheme="majorBidi" w:cstheme="majorBidi"/>
          <w:color w:val="000000"/>
          <w:sz w:val="24"/>
          <w:szCs w:val="24"/>
          <w:lang w:val="en-US" w:eastAsia="fr-FR" w:bidi="he-IL"/>
        </w:rPr>
        <w:t xml:space="preserve">. The agent can sell the EUA. At the end of the period, if the price market is lower than the strike price, he receives the difference from the government protecting him this way of </w:t>
      </w:r>
      <w:r w:rsidR="00397B73">
        <w:rPr>
          <w:rFonts w:asciiTheme="majorBidi" w:eastAsia="Times New Roman" w:hAnsiTheme="majorBidi" w:cstheme="majorBidi"/>
          <w:color w:val="000000"/>
          <w:sz w:val="24"/>
          <w:szCs w:val="24"/>
          <w:lang w:val="en-US" w:eastAsia="fr-FR" w:bidi="he-IL"/>
        </w:rPr>
        <w:t>low-carbon</w:t>
      </w:r>
      <w:r w:rsidR="00033CF9" w:rsidRPr="00D806D9">
        <w:rPr>
          <w:rFonts w:asciiTheme="majorBidi" w:eastAsia="Times New Roman" w:hAnsiTheme="majorBidi" w:cstheme="majorBidi"/>
          <w:color w:val="000000"/>
          <w:sz w:val="24"/>
          <w:szCs w:val="24"/>
          <w:lang w:val="en-US" w:eastAsia="fr-FR" w:bidi="he-IL"/>
        </w:rPr>
        <w:t xml:space="preserve"> price risks. Conversely, he must pay the difference to the public authority if the market price is higher. CCfD help to provide more stable and viable financial business cases by lowering operators’ risks related to EUA price volatility. </w:t>
      </w:r>
    </w:p>
    <w:p w14:paraId="40DA3338" w14:textId="331C979C" w:rsidR="002819AE" w:rsidRPr="00D806D9" w:rsidRDefault="002819AE"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p>
    <w:p w14:paraId="3FEBEF10" w14:textId="30BF4D41" w:rsidR="00033CF9" w:rsidRPr="00D806D9" w:rsidRDefault="00033CF9"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The literature identifies several positive effects CCfD could have. It offers potential for recuperation of costs for governments as the carbon price rises. Besides, </w:t>
      </w:r>
      <w:proofErr w:type="spellStart"/>
      <w:r w:rsidRPr="00D806D9">
        <w:rPr>
          <w:rFonts w:asciiTheme="majorBidi" w:eastAsia="Times New Roman" w:hAnsiTheme="majorBidi" w:cstheme="majorBidi"/>
          <w:color w:val="000000"/>
          <w:sz w:val="24"/>
          <w:szCs w:val="24"/>
          <w:lang w:val="en-US" w:eastAsia="fr-FR" w:bidi="he-IL"/>
        </w:rPr>
        <w:t>Chiappinelli</w:t>
      </w:r>
      <w:proofErr w:type="spellEnd"/>
      <w:r w:rsidRPr="00D806D9">
        <w:rPr>
          <w:rFonts w:asciiTheme="majorBidi" w:eastAsia="Times New Roman" w:hAnsiTheme="majorBidi" w:cstheme="majorBidi"/>
          <w:color w:val="000000"/>
          <w:sz w:val="24"/>
          <w:szCs w:val="24"/>
          <w:lang w:val="en-US" w:eastAsia="fr-FR" w:bidi="he-IL"/>
        </w:rPr>
        <w:t xml:space="preserve"> and Neuhoff (2020) have underlined that establishing a contractual </w:t>
      </w:r>
      <w:r w:rsidRPr="00D806D9">
        <w:rPr>
          <w:rFonts w:asciiTheme="majorBidi" w:eastAsia="Times New Roman" w:hAnsiTheme="majorBidi" w:cstheme="majorBidi"/>
          <w:color w:val="000000"/>
          <w:sz w:val="24"/>
          <w:szCs w:val="24"/>
          <w:lang w:val="en-US" w:eastAsia="fr-FR" w:bidi="he-IL"/>
        </w:rPr>
        <w:lastRenderedPageBreak/>
        <w:t xml:space="preserve">relationship offers the agent further security in terms of public commitment to not expropriate the rent of innovation </w:t>
      </w:r>
      <w:r w:rsidR="00E010AD">
        <w:rPr>
          <w:rFonts w:asciiTheme="majorBidi" w:eastAsia="Times New Roman" w:hAnsiTheme="majorBidi" w:cstheme="majorBidi"/>
          <w:i/>
          <w:iCs/>
          <w:color w:val="000000"/>
          <w:sz w:val="24"/>
          <w:szCs w:val="24"/>
          <w:lang w:val="en-US" w:eastAsia="fr-FR" w:bidi="he-IL"/>
        </w:rPr>
        <w:t>ex-post</w:t>
      </w:r>
      <w:r w:rsidRPr="00D806D9">
        <w:rPr>
          <w:rFonts w:asciiTheme="majorBidi" w:eastAsia="Times New Roman" w:hAnsiTheme="majorBidi" w:cstheme="majorBidi"/>
          <w:color w:val="000000"/>
          <w:sz w:val="24"/>
          <w:szCs w:val="24"/>
          <w:lang w:val="en-US" w:eastAsia="fr-FR" w:bidi="he-IL"/>
        </w:rPr>
        <w:t xml:space="preserve"> by lowering </w:t>
      </w:r>
      <w:r w:rsidR="00634551">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EUA price. This possibility anticipated by the operators would hamper their investments in </w:t>
      </w:r>
      <w:r w:rsidR="00397B73">
        <w:rPr>
          <w:rFonts w:asciiTheme="majorBidi" w:eastAsia="Times New Roman" w:hAnsiTheme="majorBidi" w:cstheme="majorBidi"/>
          <w:color w:val="000000"/>
          <w:sz w:val="24"/>
          <w:szCs w:val="24"/>
          <w:lang w:val="en-US" w:eastAsia="fr-FR" w:bidi="he-IL"/>
        </w:rPr>
        <w:t>low-carbon</w:t>
      </w:r>
      <w:r w:rsidRPr="00D806D9">
        <w:rPr>
          <w:rFonts w:asciiTheme="majorBidi" w:eastAsia="Times New Roman" w:hAnsiTheme="majorBidi" w:cstheme="majorBidi"/>
          <w:color w:val="000000"/>
          <w:sz w:val="24"/>
          <w:szCs w:val="24"/>
          <w:lang w:val="en-US" w:eastAsia="fr-FR" w:bidi="he-IL"/>
        </w:rPr>
        <w:t xml:space="preserve"> solutions. This way, CCfD offers clear signaling regarding government policy intentions</w:t>
      </w:r>
      <w:r w:rsidR="00761A6C">
        <w:rPr>
          <w:rFonts w:asciiTheme="majorBidi" w:eastAsia="Times New Roman" w:hAnsiTheme="majorBidi" w:cstheme="majorBidi"/>
          <w:color w:val="000000"/>
          <w:sz w:val="24"/>
          <w:szCs w:val="24"/>
          <w:lang w:val="en-US" w:eastAsia="fr-FR" w:bidi="he-IL"/>
        </w:rPr>
        <w:t xml:space="preserve">. Also, it allows </w:t>
      </w:r>
      <w:r w:rsidRPr="00D806D9">
        <w:rPr>
          <w:rFonts w:asciiTheme="majorBidi" w:eastAsia="Times New Roman" w:hAnsiTheme="majorBidi" w:cstheme="majorBidi"/>
          <w:color w:val="000000"/>
          <w:sz w:val="24"/>
          <w:szCs w:val="24"/>
          <w:lang w:val="en-US" w:eastAsia="fr-FR" w:bidi="he-IL"/>
        </w:rPr>
        <w:t>compensation for operators for the regulatory risk linked to long-term climate policies</w:t>
      </w:r>
      <w:r w:rsidR="009639D1">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which translates into uncertainties </w:t>
      </w:r>
      <w:r w:rsidR="009639D1">
        <w:rPr>
          <w:rFonts w:asciiTheme="majorBidi" w:eastAsia="Times New Roman" w:hAnsiTheme="majorBidi" w:cstheme="majorBidi"/>
          <w:color w:val="000000"/>
          <w:sz w:val="24"/>
          <w:szCs w:val="24"/>
          <w:lang w:val="en-US" w:eastAsia="fr-FR" w:bidi="he-IL"/>
        </w:rPr>
        <w:t>in</w:t>
      </w:r>
      <w:r w:rsidRPr="00D806D9">
        <w:rPr>
          <w:rFonts w:asciiTheme="majorBidi" w:eastAsia="Times New Roman" w:hAnsiTheme="majorBidi" w:cstheme="majorBidi"/>
          <w:color w:val="000000"/>
          <w:sz w:val="24"/>
          <w:szCs w:val="24"/>
          <w:lang w:val="en-US" w:eastAsia="fr-FR" w:bidi="he-IL"/>
        </w:rPr>
        <w:t xml:space="preserve"> carbon price futures. Further, Newell and Fischer (2008) have shown that EUA </w:t>
      </w:r>
      <w:r w:rsidR="00F15985">
        <w:rPr>
          <w:rFonts w:asciiTheme="majorBidi" w:eastAsia="Times New Roman" w:hAnsiTheme="majorBidi" w:cstheme="majorBidi"/>
          <w:color w:val="000000"/>
          <w:sz w:val="24"/>
          <w:szCs w:val="24"/>
          <w:lang w:val="en-US" w:eastAsia="fr-FR" w:bidi="he-IL"/>
        </w:rPr>
        <w:t>prices</w:t>
      </w:r>
      <w:r w:rsidRPr="00D806D9">
        <w:rPr>
          <w:rFonts w:asciiTheme="majorBidi" w:eastAsia="Times New Roman" w:hAnsiTheme="majorBidi" w:cstheme="majorBidi"/>
          <w:color w:val="000000"/>
          <w:sz w:val="24"/>
          <w:szCs w:val="24"/>
          <w:lang w:val="en-US" w:eastAsia="fr-FR" w:bidi="he-IL"/>
        </w:rPr>
        <w:t xml:space="preserve"> might not provide the proper incentives when knowledge spillovers characterize the innovation process. CCfD in this perspective is seen as a mean to support projects facing innovation market failure over conventional technologies, feature reinforcing the signaling for innovation. Moreover, </w:t>
      </w:r>
      <w:r w:rsidRPr="00D806D9">
        <w:rPr>
          <w:rFonts w:asciiTheme="majorBidi" w:hAnsiTheme="majorBidi" w:cstheme="majorBidi"/>
          <w:color w:val="000000"/>
          <w:sz w:val="24"/>
          <w:szCs w:val="24"/>
          <w:lang w:val="en-US"/>
        </w:rPr>
        <w:t>Neuhoff et al. (2019) showed how CCfD allow for a higher debt ratio</w:t>
      </w:r>
      <w:r w:rsidR="009639D1">
        <w:rPr>
          <w:rFonts w:asciiTheme="majorBidi" w:hAnsiTheme="majorBidi" w:cstheme="majorBidi"/>
          <w:color w:val="000000"/>
          <w:sz w:val="24"/>
          <w:szCs w:val="24"/>
          <w:lang w:val="en-US"/>
        </w:rPr>
        <w:t>,</w:t>
      </w:r>
      <w:r w:rsidRPr="00D806D9">
        <w:rPr>
          <w:rFonts w:asciiTheme="majorBidi" w:hAnsiTheme="majorBidi" w:cstheme="majorBidi"/>
          <w:color w:val="000000"/>
          <w:sz w:val="24"/>
          <w:szCs w:val="24"/>
          <w:lang w:val="en-US"/>
        </w:rPr>
        <w:t xml:space="preserve"> reducing both </w:t>
      </w:r>
      <w:r w:rsidR="00F15985">
        <w:rPr>
          <w:rFonts w:asciiTheme="majorBidi" w:hAnsiTheme="majorBidi" w:cstheme="majorBidi"/>
          <w:color w:val="000000"/>
          <w:sz w:val="24"/>
          <w:szCs w:val="24"/>
          <w:lang w:val="en-US"/>
        </w:rPr>
        <w:t xml:space="preserve">the </w:t>
      </w:r>
      <w:r w:rsidRPr="00D806D9">
        <w:rPr>
          <w:rFonts w:asciiTheme="majorBidi" w:hAnsiTheme="majorBidi" w:cstheme="majorBidi"/>
          <w:color w:val="000000"/>
          <w:sz w:val="24"/>
          <w:szCs w:val="24"/>
          <w:lang w:val="en-US"/>
        </w:rPr>
        <w:t xml:space="preserve">EUA price required to make the investment competitive and the public co-funding. The </w:t>
      </w:r>
      <w:r w:rsidRPr="00D806D9">
        <w:rPr>
          <w:rFonts w:asciiTheme="majorBidi" w:hAnsiTheme="majorBidi" w:cstheme="majorBidi"/>
          <w:sz w:val="24"/>
          <w:szCs w:val="24"/>
          <w:lang w:val="en-US"/>
        </w:rPr>
        <w:t>volume and technology risks are also mitigated when combining CCfD with up-front innovation funding (</w:t>
      </w:r>
      <w:proofErr w:type="spellStart"/>
      <w:r w:rsidRPr="00D806D9">
        <w:rPr>
          <w:rFonts w:asciiTheme="majorBidi" w:hAnsiTheme="majorBidi" w:cstheme="majorBidi"/>
          <w:sz w:val="24"/>
          <w:szCs w:val="24"/>
          <w:lang w:val="en-US"/>
        </w:rPr>
        <w:t>Richstein</w:t>
      </w:r>
      <w:proofErr w:type="spellEnd"/>
      <w:r w:rsidRPr="00D806D9">
        <w:rPr>
          <w:rFonts w:asciiTheme="majorBidi" w:hAnsiTheme="majorBidi" w:cstheme="majorBidi"/>
          <w:sz w:val="24"/>
          <w:szCs w:val="24"/>
          <w:lang w:val="en-US"/>
        </w:rPr>
        <w:t xml:space="preserve"> 2017).</w:t>
      </w:r>
      <w:r w:rsidRPr="00D806D9">
        <w:rPr>
          <w:rFonts w:asciiTheme="majorBidi" w:eastAsia="Times New Roman" w:hAnsiTheme="majorBidi" w:cstheme="majorBidi"/>
          <w:color w:val="000000"/>
          <w:sz w:val="24"/>
          <w:szCs w:val="24"/>
          <w:lang w:val="en-US" w:eastAsia="fr-FR" w:bidi="he-IL"/>
        </w:rPr>
        <w:t xml:space="preserve"> Therefore, CCfD appears as having the capacity to foster LCH innovation </w:t>
      </w:r>
      <w:r w:rsidRPr="00D806D9">
        <w:rPr>
          <w:rFonts w:asciiTheme="majorBidi" w:hAnsiTheme="majorBidi" w:cstheme="majorBidi"/>
          <w:sz w:val="24"/>
          <w:szCs w:val="24"/>
          <w:lang w:val="en-US"/>
        </w:rPr>
        <w:t xml:space="preserve">should EUA </w:t>
      </w:r>
      <w:r w:rsidRPr="00D806D9">
        <w:rPr>
          <w:rFonts w:asciiTheme="majorBidi" w:eastAsia="Times New Roman" w:hAnsiTheme="majorBidi" w:cstheme="majorBidi"/>
          <w:color w:val="000000"/>
          <w:sz w:val="24"/>
          <w:szCs w:val="24"/>
          <w:lang w:val="en-US" w:eastAsia="fr-FR" w:bidi="he-IL"/>
        </w:rPr>
        <w:t>price would not reach a sufficient signal level.</w:t>
      </w:r>
    </w:p>
    <w:p w14:paraId="593F0E28" w14:textId="57C76C9D" w:rsidR="00033CF9" w:rsidRDefault="00033CF9" w:rsidP="00D806D9">
      <w:pPr>
        <w:autoSpaceDE w:val="0"/>
        <w:autoSpaceDN w:val="0"/>
        <w:adjustRightInd w:val="0"/>
        <w:spacing w:after="0" w:line="48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ab/>
        <w:t xml:space="preserve">As </w:t>
      </w:r>
      <w:r w:rsidR="00F15985">
        <w:rPr>
          <w:rFonts w:asciiTheme="majorBidi" w:eastAsia="Times New Roman" w:hAnsiTheme="majorBidi" w:cstheme="majorBidi"/>
          <w:color w:val="000000"/>
          <w:sz w:val="24"/>
          <w:szCs w:val="24"/>
          <w:lang w:val="en-US" w:eastAsia="fr-FR" w:bidi="he-IL"/>
        </w:rPr>
        <w:t xml:space="preserve">a </w:t>
      </w:r>
      <w:r w:rsidRPr="00D806D9">
        <w:rPr>
          <w:rFonts w:asciiTheme="majorBidi" w:eastAsia="Times New Roman" w:hAnsiTheme="majorBidi" w:cstheme="majorBidi"/>
          <w:color w:val="000000"/>
          <w:sz w:val="24"/>
          <w:szCs w:val="24"/>
          <w:lang w:val="en-US" w:eastAsia="fr-FR" w:bidi="he-IL"/>
        </w:rPr>
        <w:t>support mechanism, CCfD need to be compliant with EU competition law and WTO rules. Sartor and Bataille (2019) argue that at the EU level it would not be considered a state aid as aiming at innovation of general interests but would require coordination with national support policies. Further, they underline that even if politically sensitive as touching national strategic areas, it would also allow further integration of the single market. It could be used to complement both national and EU innovation funding as well as the CBAM by investing its potential revenues in developing countries. This in turn would “foster energy security, partnership development […] more aligned with WTO rules” (CFMP, 2020).</w:t>
      </w:r>
    </w:p>
    <w:p w14:paraId="189E9D8D" w14:textId="77777777" w:rsidR="00DF2F9C" w:rsidRPr="00D806D9" w:rsidRDefault="00DF2F9C" w:rsidP="00D806D9">
      <w:pPr>
        <w:autoSpaceDE w:val="0"/>
        <w:autoSpaceDN w:val="0"/>
        <w:adjustRightInd w:val="0"/>
        <w:spacing w:after="0" w:line="480" w:lineRule="auto"/>
        <w:jc w:val="both"/>
        <w:rPr>
          <w:rFonts w:asciiTheme="majorBidi" w:eastAsia="Times New Roman" w:hAnsiTheme="majorBidi" w:cstheme="majorBidi"/>
          <w:color w:val="000000"/>
          <w:sz w:val="24"/>
          <w:szCs w:val="24"/>
          <w:lang w:val="en-US" w:eastAsia="fr-FR" w:bidi="he-IL"/>
        </w:rPr>
      </w:pPr>
    </w:p>
    <w:p w14:paraId="4E37AB8E" w14:textId="77777777" w:rsidR="00033CF9" w:rsidRPr="00D806D9" w:rsidRDefault="00033CF9" w:rsidP="00D806D9">
      <w:pPr>
        <w:spacing w:after="0" w:line="480" w:lineRule="auto"/>
        <w:ind w:left="1418" w:hanging="710"/>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4.2.</w:t>
      </w:r>
      <w:r w:rsidRPr="00D806D9">
        <w:rPr>
          <w:rFonts w:asciiTheme="majorBidi" w:hAnsiTheme="majorBidi" w:cstheme="majorBidi"/>
          <w:b/>
          <w:bCs/>
          <w:sz w:val="24"/>
          <w:szCs w:val="24"/>
          <w:lang w:val="en-US"/>
        </w:rPr>
        <w:tab/>
        <w:t>An unbalanced risk allocation</w:t>
      </w:r>
    </w:p>
    <w:p w14:paraId="48BD44B2" w14:textId="77777777" w:rsidR="00033CF9" w:rsidRPr="00D806D9" w:rsidRDefault="00033CF9" w:rsidP="00D806D9">
      <w:pPr>
        <w:spacing w:after="0" w:line="480" w:lineRule="auto"/>
        <w:jc w:val="both"/>
        <w:rPr>
          <w:rFonts w:asciiTheme="majorBidi" w:hAnsiTheme="majorBidi" w:cstheme="majorBidi"/>
          <w:b/>
          <w:bCs/>
          <w:sz w:val="24"/>
          <w:szCs w:val="24"/>
          <w:lang w:val="en-US"/>
        </w:rPr>
      </w:pPr>
    </w:p>
    <w:p w14:paraId="20013FE6" w14:textId="41DC2EC2" w:rsidR="00033CF9" w:rsidRPr="00D806D9" w:rsidRDefault="00033CF9" w:rsidP="00D806D9">
      <w:pPr>
        <w:autoSpaceDE w:val="0"/>
        <w:autoSpaceDN w:val="0"/>
        <w:adjustRightInd w:val="0"/>
        <w:spacing w:after="0" w:line="480" w:lineRule="auto"/>
        <w:ind w:firstLine="708"/>
        <w:jc w:val="both"/>
        <w:rPr>
          <w:rFonts w:ascii="Arial" w:eastAsia="Times New Roman" w:hAnsi="Arial" w:cs="Arial"/>
          <w:lang w:val="en-US" w:eastAsia="fr-FR"/>
        </w:rPr>
      </w:pPr>
      <w:r w:rsidRPr="00D806D9">
        <w:rPr>
          <w:rFonts w:asciiTheme="majorBidi" w:eastAsia="Times New Roman" w:hAnsiTheme="majorBidi" w:cstheme="majorBidi"/>
          <w:color w:val="000000"/>
          <w:sz w:val="24"/>
          <w:szCs w:val="24"/>
          <w:lang w:val="en-US" w:eastAsia="fr-FR" w:bidi="he-IL"/>
        </w:rPr>
        <w:t xml:space="preserve">CCfD proceed to a risk allocation which is completely transferred to the public authority and acts at different levels. The first aspect is CCfD duration. Key of the risk coverage, it also is a risk in itself as part of the insurance mechanism. Together with direct technological support and </w:t>
      </w:r>
      <w:r w:rsidR="00A36F52">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possible risk of failure of the same (CFMP, 2020), it appears to be the </w:t>
      </w:r>
      <w:r w:rsidR="00A36F52">
        <w:rPr>
          <w:rFonts w:asciiTheme="majorBidi" w:eastAsia="Times New Roman" w:hAnsiTheme="majorBidi" w:cstheme="majorBidi"/>
          <w:color w:val="000000"/>
          <w:sz w:val="24"/>
          <w:szCs w:val="24"/>
          <w:lang w:val="en-US" w:eastAsia="fr-FR" w:bidi="he-IL"/>
        </w:rPr>
        <w:t>best-balanced</w:t>
      </w:r>
      <w:r w:rsidRPr="00D806D9">
        <w:rPr>
          <w:rFonts w:asciiTheme="majorBidi" w:eastAsia="Times New Roman" w:hAnsiTheme="majorBidi" w:cstheme="majorBidi"/>
          <w:color w:val="000000"/>
          <w:sz w:val="24"/>
          <w:szCs w:val="24"/>
          <w:lang w:val="en-US" w:eastAsia="fr-FR" w:bidi="he-IL"/>
        </w:rPr>
        <w:t xml:space="preserve"> element in </w:t>
      </w:r>
      <w:r w:rsidR="009639D1">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risk allocation between the parties, but duration still requires careful consideration, large-scale projects supported by the IF being covered for </w:t>
      </w:r>
      <w:r w:rsidR="00A36F52">
        <w:rPr>
          <w:rFonts w:asciiTheme="majorBidi" w:eastAsia="Times New Roman" w:hAnsiTheme="majorBidi" w:cstheme="majorBidi"/>
          <w:color w:val="000000"/>
          <w:sz w:val="24"/>
          <w:szCs w:val="24"/>
          <w:lang w:val="en-US" w:eastAsia="fr-FR" w:bidi="he-IL"/>
        </w:rPr>
        <w:t>10 years</w:t>
      </w:r>
      <w:r w:rsidRPr="00D806D9">
        <w:rPr>
          <w:rFonts w:asciiTheme="majorBidi" w:eastAsia="Times New Roman" w:hAnsiTheme="majorBidi" w:cstheme="majorBidi"/>
          <w:color w:val="000000"/>
          <w:sz w:val="24"/>
          <w:szCs w:val="24"/>
          <w:lang w:val="en-US" w:eastAsia="fr-FR" w:bidi="he-IL"/>
        </w:rPr>
        <w:t>. Neuhoff et al</w:t>
      </w:r>
      <w:r w:rsidR="0081519C">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(2019) suggest a duration of up to 20 years</w:t>
      </w:r>
      <w:r w:rsidR="0081519C">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which seems excessive given EUA price evolutions as well as </w:t>
      </w:r>
      <w:r w:rsidR="00A36F52">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foreseeability of events for </w:t>
      </w:r>
      <w:r w:rsidR="0081519C">
        <w:rPr>
          <w:rFonts w:asciiTheme="majorBidi" w:eastAsia="Times New Roman" w:hAnsiTheme="majorBidi" w:cstheme="majorBidi"/>
          <w:color w:val="000000"/>
          <w:sz w:val="24"/>
          <w:szCs w:val="24"/>
          <w:lang w:val="en-US" w:eastAsia="fr-FR" w:bidi="he-IL"/>
        </w:rPr>
        <w:t>s</w:t>
      </w:r>
      <w:r w:rsidRPr="00D806D9">
        <w:rPr>
          <w:rFonts w:asciiTheme="majorBidi" w:eastAsia="Times New Roman" w:hAnsiTheme="majorBidi" w:cstheme="majorBidi"/>
          <w:color w:val="000000"/>
          <w:sz w:val="24"/>
          <w:szCs w:val="24"/>
          <w:lang w:val="en-US" w:eastAsia="fr-FR" w:bidi="he-IL"/>
        </w:rPr>
        <w:t>uch time horizon. Second, parameters influencing the EUA price and their trend need t</w:t>
      </w:r>
      <w:r w:rsidR="0081519C">
        <w:rPr>
          <w:rFonts w:asciiTheme="majorBidi" w:eastAsia="Times New Roman" w:hAnsiTheme="majorBidi" w:cstheme="majorBidi"/>
          <w:color w:val="000000"/>
          <w:sz w:val="24"/>
          <w:szCs w:val="24"/>
          <w:lang w:val="en-US" w:eastAsia="fr-FR" w:bidi="he-IL"/>
        </w:rPr>
        <w:t xml:space="preserve">o </w:t>
      </w:r>
      <w:r w:rsidR="00A36F52">
        <w:rPr>
          <w:rFonts w:asciiTheme="majorBidi" w:eastAsia="Times New Roman" w:hAnsiTheme="majorBidi" w:cstheme="majorBidi"/>
          <w:color w:val="000000"/>
          <w:sz w:val="24"/>
          <w:szCs w:val="24"/>
          <w:lang w:val="en-US" w:eastAsia="fr-FR" w:bidi="he-IL"/>
        </w:rPr>
        <w:t>be assessed</w:t>
      </w:r>
      <w:r w:rsidRPr="00D806D9">
        <w:rPr>
          <w:rFonts w:asciiTheme="majorBidi" w:eastAsia="Times New Roman" w:hAnsiTheme="majorBidi" w:cstheme="majorBidi"/>
          <w:color w:val="000000"/>
          <w:sz w:val="24"/>
          <w:szCs w:val="24"/>
          <w:lang w:val="en-US" w:eastAsia="fr-FR" w:bidi="he-IL"/>
        </w:rPr>
        <w:t xml:space="preserve">. The regulatory framework in which CCfD </w:t>
      </w:r>
      <w:r w:rsidR="004E3759" w:rsidRPr="00D806D9">
        <w:rPr>
          <w:rFonts w:asciiTheme="majorBidi" w:eastAsia="Times New Roman" w:hAnsiTheme="majorBidi" w:cstheme="majorBidi"/>
          <w:color w:val="000000"/>
          <w:sz w:val="24"/>
          <w:szCs w:val="24"/>
          <w:lang w:val="en-US" w:eastAsia="fr-FR" w:bidi="he-IL"/>
        </w:rPr>
        <w:t>would</w:t>
      </w:r>
      <w:r w:rsidRPr="00D806D9">
        <w:rPr>
          <w:rFonts w:asciiTheme="majorBidi" w:eastAsia="Times New Roman" w:hAnsiTheme="majorBidi" w:cstheme="majorBidi"/>
          <w:color w:val="000000"/>
          <w:sz w:val="24"/>
          <w:szCs w:val="24"/>
          <w:lang w:val="en-US" w:eastAsia="fr-FR" w:bidi="he-IL"/>
        </w:rPr>
        <w:t xml:space="preserve"> be implemented, i.e. EU-ETS, is by design intended to strengthen its cap over time additionally to currently experimenting </w:t>
      </w:r>
      <w:r w:rsidR="00A36F52">
        <w:rPr>
          <w:rFonts w:asciiTheme="majorBidi" w:eastAsia="Times New Roman" w:hAnsiTheme="majorBidi" w:cstheme="majorBidi"/>
          <w:color w:val="000000"/>
          <w:sz w:val="24"/>
          <w:szCs w:val="24"/>
          <w:lang w:val="en-US" w:eastAsia="fr-FR" w:bidi="he-IL"/>
        </w:rPr>
        <w:t xml:space="preserve">with </w:t>
      </w:r>
      <w:r w:rsidRPr="00D806D9">
        <w:rPr>
          <w:rFonts w:asciiTheme="majorBidi" w:eastAsia="Times New Roman" w:hAnsiTheme="majorBidi" w:cstheme="majorBidi"/>
          <w:color w:val="000000"/>
          <w:sz w:val="24"/>
          <w:szCs w:val="24"/>
          <w:lang w:val="en-US" w:eastAsia="fr-FR" w:bidi="he-IL"/>
        </w:rPr>
        <w:t xml:space="preserve">a clear tightening, questioning the allegedly risk-sharing nature of CCfD. </w:t>
      </w:r>
      <w:r w:rsidRPr="00D806D9">
        <w:rPr>
          <w:rFonts w:asciiTheme="majorBidi" w:eastAsia="Times New Roman" w:hAnsiTheme="majorBidi" w:cstheme="majorBidi"/>
          <w:sz w:val="24"/>
          <w:szCs w:val="24"/>
          <w:lang w:val="en-US" w:eastAsia="fr-FR" w:bidi="he-IL"/>
        </w:rPr>
        <w:t xml:space="preserve">As they would be based on EUA price, </w:t>
      </w:r>
      <w:r w:rsidR="00A36F52" w:rsidRPr="00A36F52">
        <w:rPr>
          <w:rFonts w:asciiTheme="majorBidi" w:eastAsia="Times New Roman" w:hAnsiTheme="majorBidi" w:cstheme="majorBidi"/>
          <w:sz w:val="24"/>
          <w:szCs w:val="24"/>
          <w:lang w:val="en-US" w:eastAsia="fr-FR" w:bidi="he-IL"/>
        </w:rPr>
        <w:t>the definition of the strike price would probably</w:t>
      </w:r>
      <w:r w:rsidRPr="00D806D9">
        <w:rPr>
          <w:rFonts w:asciiTheme="majorBidi" w:eastAsia="Times New Roman" w:hAnsiTheme="majorBidi" w:cstheme="majorBidi"/>
          <w:sz w:val="24"/>
          <w:szCs w:val="24"/>
          <w:lang w:val="en-US" w:eastAsia="fr-FR" w:bidi="he-IL"/>
        </w:rPr>
        <w:t xml:space="preserve"> impact it by retroaction. Indeed, whether negotiated or determined through auctions, the information would be interpreted as anticipations of the same due to the medium or</w:t>
      </w:r>
      <w:r w:rsidR="004E3759" w:rsidRPr="00D806D9">
        <w:rPr>
          <w:rFonts w:asciiTheme="majorBidi" w:eastAsia="Times New Roman" w:hAnsiTheme="majorBidi" w:cstheme="majorBidi"/>
          <w:sz w:val="24"/>
          <w:szCs w:val="24"/>
          <w:lang w:val="en-US" w:eastAsia="fr-FR" w:bidi="he-IL"/>
        </w:rPr>
        <w:t xml:space="preserve"> </w:t>
      </w:r>
      <w:r w:rsidR="00A36F52">
        <w:rPr>
          <w:rFonts w:asciiTheme="majorBidi" w:eastAsia="Times New Roman" w:hAnsiTheme="majorBidi" w:cstheme="majorBidi"/>
          <w:sz w:val="24"/>
          <w:szCs w:val="24"/>
          <w:lang w:val="en-US" w:eastAsia="fr-FR" w:bidi="he-IL"/>
        </w:rPr>
        <w:t>long-term</w:t>
      </w:r>
      <w:r w:rsidRPr="00D806D9">
        <w:rPr>
          <w:rFonts w:asciiTheme="majorBidi" w:eastAsia="Times New Roman" w:hAnsiTheme="majorBidi" w:cstheme="majorBidi"/>
          <w:sz w:val="24"/>
          <w:szCs w:val="24"/>
          <w:lang w:val="en-US" w:eastAsia="fr-FR" w:bidi="he-IL"/>
        </w:rPr>
        <w:t xml:space="preserve"> basis of the contractual framework. Rendered public, it would undoubtfully influence the EU-ETS market, particularly as most projects and agents covered by CCfD would be large players. This would participate in blurring even more causal linkages and drivers of EUA price.</w:t>
      </w:r>
    </w:p>
    <w:p w14:paraId="6AFD2F39" w14:textId="211C12B2" w:rsidR="00033CF9" w:rsidRPr="00D806D9" w:rsidRDefault="00033CF9" w:rsidP="00D806D9">
      <w:pPr>
        <w:spacing w:after="0" w:line="480" w:lineRule="auto"/>
        <w:ind w:firstLine="708"/>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If the regulatory risk is oriented in one direction as we have seen, this could evolve in the future particularly as exogenous risks remain and could impact </w:t>
      </w:r>
      <w:r w:rsidR="00A36F52">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payment determination of CCfD. </w:t>
      </w:r>
      <w:r w:rsidRPr="00D806D9">
        <w:rPr>
          <w:rFonts w:asciiTheme="majorBidi" w:eastAsia="Times New Roman" w:hAnsiTheme="majorBidi" w:cstheme="majorBidi"/>
          <w:sz w:val="24"/>
          <w:szCs w:val="24"/>
          <w:lang w:val="en-US" w:eastAsia="fr-FR"/>
        </w:rPr>
        <w:t xml:space="preserve">From this perspective, a recession is </w:t>
      </w:r>
      <w:r w:rsidR="00A36F52">
        <w:rPr>
          <w:rFonts w:asciiTheme="majorBidi" w:eastAsia="Times New Roman" w:hAnsiTheme="majorBidi" w:cstheme="majorBidi"/>
          <w:sz w:val="24"/>
          <w:szCs w:val="24"/>
          <w:lang w:val="en-US" w:eastAsia="fr-FR"/>
        </w:rPr>
        <w:t>in</w:t>
      </w:r>
      <w:r w:rsidRPr="00D806D9">
        <w:rPr>
          <w:rFonts w:asciiTheme="majorBidi" w:eastAsia="Times New Roman" w:hAnsiTheme="majorBidi" w:cstheme="majorBidi"/>
          <w:sz w:val="24"/>
          <w:szCs w:val="24"/>
          <w:lang w:val="en-US" w:eastAsia="fr-FR"/>
        </w:rPr>
        <w:t xml:space="preserve"> the long run a certainty and could impact negatively the carbon market as the 2009 crisis did. In the case of a </w:t>
      </w:r>
      <w:r w:rsidRPr="00D806D9">
        <w:rPr>
          <w:rFonts w:asciiTheme="majorBidi" w:eastAsia="Times New Roman" w:hAnsiTheme="majorBidi" w:cstheme="majorBidi"/>
          <w:sz w:val="24"/>
          <w:szCs w:val="24"/>
          <w:lang w:val="en-US" w:eastAsia="fr-FR"/>
        </w:rPr>
        <w:lastRenderedPageBreak/>
        <w:t xml:space="preserve">global recession, a downward trend would be feedbacked </w:t>
      </w:r>
      <w:r w:rsidR="00A36F52">
        <w:rPr>
          <w:rFonts w:asciiTheme="majorBidi" w:eastAsia="Times New Roman" w:hAnsiTheme="majorBidi" w:cstheme="majorBidi"/>
          <w:sz w:val="24"/>
          <w:szCs w:val="24"/>
          <w:lang w:val="en-US" w:eastAsia="fr-FR"/>
        </w:rPr>
        <w:t>in</w:t>
      </w:r>
      <w:r w:rsidRPr="00D806D9">
        <w:rPr>
          <w:rFonts w:asciiTheme="majorBidi" w:eastAsia="Times New Roman" w:hAnsiTheme="majorBidi" w:cstheme="majorBidi"/>
          <w:sz w:val="24"/>
          <w:szCs w:val="24"/>
          <w:lang w:val="en-US" w:eastAsia="fr-FR"/>
        </w:rPr>
        <w:t xml:space="preserve"> energy markets. This situation would expose governments to conjectural higher costs and higher compensations for operators at a moment that could prove to be budgetary delicate. Nevertheless, the contrary is not excludable, i.e. the increase of EUA price during a recession. This situation would </w:t>
      </w:r>
      <w:r w:rsidRPr="00D806D9">
        <w:rPr>
          <w:rFonts w:asciiTheme="majorBidi" w:eastAsia="Times New Roman" w:hAnsiTheme="majorBidi" w:cstheme="majorBidi"/>
          <w:color w:val="000000"/>
          <w:sz w:val="24"/>
          <w:szCs w:val="24"/>
          <w:lang w:val="en-US" w:eastAsia="fr-FR" w:bidi="he-IL"/>
        </w:rPr>
        <w:t xml:space="preserve">provoke payment to the government from the operators which represents the concretization of the public authority protection but </w:t>
      </w:r>
      <w:r w:rsidR="00A36F52">
        <w:rPr>
          <w:rFonts w:asciiTheme="majorBidi" w:eastAsia="Times New Roman" w:hAnsiTheme="majorBidi" w:cstheme="majorBidi"/>
          <w:color w:val="000000"/>
          <w:sz w:val="24"/>
          <w:szCs w:val="24"/>
          <w:lang w:val="en-US" w:eastAsia="fr-FR" w:bidi="he-IL"/>
        </w:rPr>
        <w:t>exposes</w:t>
      </w:r>
      <w:r w:rsidRPr="00D806D9">
        <w:rPr>
          <w:rFonts w:asciiTheme="majorBidi" w:eastAsia="Times New Roman" w:hAnsiTheme="majorBidi" w:cstheme="majorBidi"/>
          <w:color w:val="000000"/>
          <w:sz w:val="24"/>
          <w:szCs w:val="24"/>
          <w:lang w:val="en-US" w:eastAsia="fr-FR" w:bidi="he-IL"/>
        </w:rPr>
        <w:t xml:space="preserve"> operators in hardship times unless producing energy themselves. This dynamic could potentially jeopardize projects reaching the opposite effect than the intended one.</w:t>
      </w:r>
      <w:r w:rsidR="009E515A" w:rsidRPr="00D806D9">
        <w:rPr>
          <w:rFonts w:asciiTheme="majorBidi" w:eastAsia="Times New Roman" w:hAnsiTheme="majorBidi" w:cstheme="majorBidi"/>
          <w:color w:val="000000"/>
          <w:sz w:val="24"/>
          <w:szCs w:val="24"/>
          <w:lang w:val="en-US" w:eastAsia="fr-FR" w:bidi="he-IL"/>
        </w:rPr>
        <w:t xml:space="preserve"> </w:t>
      </w:r>
      <w:r w:rsidR="009E515A" w:rsidRPr="00D806D9">
        <w:rPr>
          <w:rFonts w:asciiTheme="majorBidi" w:eastAsia="Times New Roman" w:hAnsiTheme="majorBidi" w:cstheme="majorBidi"/>
          <w:sz w:val="24"/>
          <w:szCs w:val="24"/>
          <w:lang w:val="en-US" w:eastAsia="fr-FR"/>
        </w:rPr>
        <w:t xml:space="preserve">Besides, energy markets are notoriously uncertain and particularly volatile </w:t>
      </w:r>
      <w:r w:rsidR="00A36F52">
        <w:rPr>
          <w:rFonts w:asciiTheme="majorBidi" w:eastAsia="Times New Roman" w:hAnsiTheme="majorBidi" w:cstheme="majorBidi"/>
          <w:sz w:val="24"/>
          <w:szCs w:val="24"/>
          <w:lang w:val="en-US" w:eastAsia="fr-FR"/>
        </w:rPr>
        <w:t>for</w:t>
      </w:r>
      <w:r w:rsidR="009E515A" w:rsidRPr="00D806D9">
        <w:rPr>
          <w:rFonts w:asciiTheme="majorBidi" w:eastAsia="Times New Roman" w:hAnsiTheme="majorBidi" w:cstheme="majorBidi"/>
          <w:sz w:val="24"/>
          <w:szCs w:val="24"/>
          <w:lang w:val="en-US" w:eastAsia="fr-FR"/>
        </w:rPr>
        <w:t xml:space="preserve"> a few years</w:t>
      </w:r>
      <w:r w:rsidR="0081519C">
        <w:rPr>
          <w:rFonts w:asciiTheme="majorBidi" w:eastAsia="Times New Roman" w:hAnsiTheme="majorBidi" w:cstheme="majorBidi"/>
          <w:sz w:val="24"/>
          <w:szCs w:val="24"/>
          <w:lang w:val="en-US" w:eastAsia="fr-FR"/>
        </w:rPr>
        <w:t>,</w:t>
      </w:r>
      <w:r w:rsidR="009E515A" w:rsidRPr="00D806D9">
        <w:rPr>
          <w:rFonts w:asciiTheme="majorBidi" w:eastAsia="Times New Roman" w:hAnsiTheme="majorBidi" w:cstheme="majorBidi"/>
          <w:sz w:val="24"/>
          <w:szCs w:val="24"/>
          <w:lang w:val="en-US" w:eastAsia="fr-FR"/>
        </w:rPr>
        <w:t xml:space="preserve"> which would affect EUA price.</w:t>
      </w:r>
    </w:p>
    <w:p w14:paraId="0E09814A" w14:textId="0D917AAE" w:rsidR="00033CF9" w:rsidRPr="00D806D9" w:rsidRDefault="00033CF9" w:rsidP="00D806D9">
      <w:pPr>
        <w:spacing w:after="0" w:line="480" w:lineRule="auto"/>
        <w:ind w:firstLine="708"/>
        <w:jc w:val="both"/>
        <w:rPr>
          <w:rFonts w:asciiTheme="majorBidi" w:eastAsia="Times New Roman" w:hAnsiTheme="majorBidi" w:cstheme="majorBidi"/>
          <w:sz w:val="24"/>
          <w:szCs w:val="24"/>
          <w:lang w:val="en-US" w:eastAsia="fr-FR"/>
        </w:rPr>
      </w:pPr>
      <w:r w:rsidRPr="00D806D9">
        <w:rPr>
          <w:rFonts w:asciiTheme="majorBidi" w:eastAsia="Times New Roman" w:hAnsiTheme="majorBidi" w:cstheme="majorBidi"/>
          <w:color w:val="000000"/>
          <w:sz w:val="24"/>
          <w:szCs w:val="24"/>
          <w:lang w:val="en-US" w:eastAsia="fr-FR" w:bidi="he-IL"/>
        </w:rPr>
        <w:t xml:space="preserve">Furthermore, both </w:t>
      </w:r>
      <w:r w:rsidR="009E515A" w:rsidRPr="00D806D9">
        <w:rPr>
          <w:rFonts w:asciiTheme="majorBidi" w:eastAsia="Times New Roman" w:hAnsiTheme="majorBidi" w:cstheme="majorBidi"/>
          <w:color w:val="000000"/>
          <w:sz w:val="24"/>
          <w:szCs w:val="24"/>
          <w:lang w:val="en-US" w:eastAsia="fr-FR" w:bidi="he-IL"/>
        </w:rPr>
        <w:t>endogenous</w:t>
      </w:r>
      <w:r w:rsidRPr="00D806D9">
        <w:rPr>
          <w:rFonts w:asciiTheme="majorBidi" w:eastAsia="Times New Roman" w:hAnsiTheme="majorBidi" w:cstheme="majorBidi"/>
          <w:color w:val="000000"/>
          <w:sz w:val="24"/>
          <w:szCs w:val="24"/>
          <w:lang w:val="en-US" w:eastAsia="fr-FR" w:bidi="he-IL"/>
        </w:rPr>
        <w:t xml:space="preserve"> and exogenous risk</w:t>
      </w:r>
      <w:r w:rsidR="009E515A" w:rsidRPr="00D806D9">
        <w:rPr>
          <w:rFonts w:asciiTheme="majorBidi" w:eastAsia="Times New Roman" w:hAnsiTheme="majorBidi" w:cstheme="majorBidi"/>
          <w:color w:val="000000"/>
          <w:sz w:val="24"/>
          <w:szCs w:val="24"/>
          <w:lang w:val="en-US" w:eastAsia="fr-FR" w:bidi="he-IL"/>
        </w:rPr>
        <w:t>s</w:t>
      </w:r>
      <w:r w:rsidRPr="00D806D9">
        <w:rPr>
          <w:rFonts w:asciiTheme="majorBidi" w:eastAsia="Times New Roman" w:hAnsiTheme="majorBidi" w:cstheme="majorBidi"/>
          <w:color w:val="000000"/>
          <w:sz w:val="24"/>
          <w:szCs w:val="24"/>
          <w:lang w:val="en-US" w:eastAsia="fr-FR" w:bidi="he-IL"/>
        </w:rPr>
        <w:t xml:space="preserve"> could potentially be confronted with defenses strongly founded as their argumentation would be supported by the objectives the IF would have aimed at. On one hand, the regulator being both party to the CCfD and</w:t>
      </w:r>
      <w:r w:rsidR="009E515A" w:rsidRPr="00D806D9">
        <w:rPr>
          <w:rFonts w:asciiTheme="majorBidi" w:eastAsia="Times New Roman" w:hAnsiTheme="majorBidi" w:cstheme="majorBidi"/>
          <w:color w:val="000000"/>
          <w:sz w:val="24"/>
          <w:szCs w:val="24"/>
          <w:lang w:val="en-US" w:eastAsia="fr-FR" w:bidi="he-IL"/>
        </w:rPr>
        <w:t xml:space="preserve"> judge as</w:t>
      </w:r>
      <w:r w:rsidRPr="00D806D9">
        <w:rPr>
          <w:rFonts w:asciiTheme="majorBidi" w:eastAsia="Times New Roman" w:hAnsiTheme="majorBidi" w:cstheme="majorBidi"/>
          <w:color w:val="000000"/>
          <w:sz w:val="24"/>
          <w:szCs w:val="24"/>
          <w:lang w:val="en-US" w:eastAsia="fr-FR" w:bidi="he-IL"/>
        </w:rPr>
        <w:t xml:space="preserve"> overseeing the design of EU-ETS’ rules, operators could </w:t>
      </w:r>
      <w:r w:rsidR="00A36F52">
        <w:rPr>
          <w:rFonts w:asciiTheme="majorBidi" w:eastAsia="Times New Roman" w:hAnsiTheme="majorBidi" w:cstheme="majorBidi"/>
          <w:color w:val="000000"/>
          <w:sz w:val="24"/>
          <w:szCs w:val="24"/>
          <w:lang w:val="en-US" w:eastAsia="fr-FR" w:bidi="he-IL"/>
        </w:rPr>
        <w:t>back</w:t>
      </w:r>
      <w:r w:rsidRPr="00D806D9">
        <w:rPr>
          <w:rFonts w:asciiTheme="majorBidi" w:eastAsia="Times New Roman" w:hAnsiTheme="majorBidi" w:cstheme="majorBidi"/>
          <w:color w:val="000000"/>
          <w:sz w:val="24"/>
          <w:szCs w:val="24"/>
          <w:lang w:val="en-US" w:eastAsia="fr-FR" w:bidi="he-IL"/>
        </w:rPr>
        <w:t xml:space="preserve"> out </w:t>
      </w:r>
      <w:r w:rsidR="00A36F52">
        <w:rPr>
          <w:rFonts w:asciiTheme="majorBidi" w:eastAsia="Times New Roman" w:hAnsiTheme="majorBidi" w:cstheme="majorBidi"/>
          <w:color w:val="000000"/>
          <w:sz w:val="24"/>
          <w:szCs w:val="24"/>
          <w:lang w:val="en-US" w:eastAsia="fr-FR" w:bidi="he-IL"/>
        </w:rPr>
        <w:t xml:space="preserve">of </w:t>
      </w:r>
      <w:r w:rsidRPr="00D806D9">
        <w:rPr>
          <w:rFonts w:asciiTheme="majorBidi" w:eastAsia="Times New Roman" w:hAnsiTheme="majorBidi" w:cstheme="majorBidi"/>
          <w:color w:val="000000"/>
          <w:sz w:val="24"/>
          <w:szCs w:val="24"/>
          <w:lang w:val="en-US" w:eastAsia="fr-FR" w:bidi="he-IL"/>
        </w:rPr>
        <w:t xml:space="preserve">CCfD under </w:t>
      </w:r>
      <w:r w:rsidRPr="00D806D9">
        <w:rPr>
          <w:rFonts w:asciiTheme="majorBidi" w:eastAsia="Times New Roman" w:hAnsiTheme="majorBidi" w:cstheme="majorBidi"/>
          <w:sz w:val="24"/>
          <w:szCs w:val="24"/>
          <w:lang w:val="en-US" w:eastAsia="fr-FR"/>
        </w:rPr>
        <w:t xml:space="preserve">unconscionability due to the disproportionate power the regulator would have </w:t>
      </w:r>
      <w:r w:rsidRPr="00D806D9">
        <w:rPr>
          <w:rFonts w:asciiTheme="majorBidi" w:eastAsia="Times New Roman" w:hAnsiTheme="majorBidi" w:cstheme="majorBidi"/>
          <w:i/>
          <w:iCs/>
          <w:sz w:val="24"/>
          <w:szCs w:val="24"/>
          <w:lang w:val="en-US" w:eastAsia="fr-FR"/>
        </w:rPr>
        <w:t>ex</w:t>
      </w:r>
      <w:r w:rsidR="00A36F52">
        <w:rPr>
          <w:rFonts w:asciiTheme="majorBidi" w:eastAsia="Times New Roman" w:hAnsiTheme="majorBidi" w:cstheme="majorBidi"/>
          <w:i/>
          <w:iCs/>
          <w:sz w:val="24"/>
          <w:szCs w:val="24"/>
          <w:lang w:val="en-US" w:eastAsia="fr-FR"/>
        </w:rPr>
        <w:t>-</w:t>
      </w:r>
      <w:r w:rsidRPr="00D806D9">
        <w:rPr>
          <w:rFonts w:asciiTheme="majorBidi" w:eastAsia="Times New Roman" w:hAnsiTheme="majorBidi" w:cstheme="majorBidi"/>
          <w:i/>
          <w:iCs/>
          <w:sz w:val="24"/>
          <w:szCs w:val="24"/>
          <w:lang w:val="en-US" w:eastAsia="fr-FR"/>
        </w:rPr>
        <w:t>post</w:t>
      </w:r>
      <w:r w:rsidRPr="00D806D9">
        <w:rPr>
          <w:rFonts w:asciiTheme="majorBidi" w:eastAsia="Times New Roman" w:hAnsiTheme="majorBidi" w:cstheme="majorBidi"/>
          <w:sz w:val="24"/>
          <w:szCs w:val="24"/>
          <w:lang w:val="en-US" w:eastAsia="fr-FR"/>
        </w:rPr>
        <w:t xml:space="preserve">. On the other hand, in the case of exogenous factors affecting the EUA price, </w:t>
      </w:r>
      <w:r w:rsidR="009E515A" w:rsidRPr="00D806D9">
        <w:rPr>
          <w:rFonts w:asciiTheme="majorBidi" w:eastAsia="Times New Roman" w:hAnsiTheme="majorBidi" w:cstheme="majorBidi"/>
          <w:sz w:val="24"/>
          <w:szCs w:val="24"/>
          <w:lang w:val="en-US" w:eastAsia="fr-FR"/>
        </w:rPr>
        <w:t>public authorities</w:t>
      </w:r>
      <w:r w:rsidRPr="00D806D9">
        <w:rPr>
          <w:rFonts w:asciiTheme="majorBidi" w:eastAsia="Times New Roman" w:hAnsiTheme="majorBidi" w:cstheme="majorBidi"/>
          <w:sz w:val="24"/>
          <w:szCs w:val="24"/>
          <w:lang w:val="en-US" w:eastAsia="fr-FR"/>
        </w:rPr>
        <w:t xml:space="preserve"> could evoke impracticability </w:t>
      </w:r>
      <w:r w:rsidR="00A36F52">
        <w:rPr>
          <w:rFonts w:asciiTheme="majorBidi" w:eastAsia="Times New Roman" w:hAnsiTheme="majorBidi" w:cstheme="majorBidi"/>
          <w:sz w:val="24"/>
          <w:szCs w:val="24"/>
          <w:lang w:val="en-US" w:eastAsia="fr-FR"/>
        </w:rPr>
        <w:t xml:space="preserve">contracts </w:t>
      </w:r>
      <w:r w:rsidRPr="00D806D9">
        <w:rPr>
          <w:rFonts w:asciiTheme="majorBidi" w:eastAsia="Times New Roman" w:hAnsiTheme="majorBidi" w:cstheme="majorBidi"/>
          <w:sz w:val="24"/>
          <w:szCs w:val="24"/>
          <w:lang w:val="en-US" w:eastAsia="fr-FR"/>
        </w:rPr>
        <w:t xml:space="preserve">due to unforeseeable circumstances. This could for instance apply to geopolitical events altering </w:t>
      </w:r>
      <w:r w:rsidR="009E515A" w:rsidRPr="00D806D9">
        <w:rPr>
          <w:rFonts w:asciiTheme="majorBidi" w:eastAsia="Times New Roman" w:hAnsiTheme="majorBidi" w:cstheme="majorBidi"/>
          <w:sz w:val="24"/>
          <w:szCs w:val="24"/>
          <w:lang w:val="en-US" w:eastAsia="fr-FR"/>
        </w:rPr>
        <w:t>positively</w:t>
      </w:r>
      <w:r w:rsidRPr="00D806D9">
        <w:rPr>
          <w:rFonts w:asciiTheme="majorBidi" w:eastAsia="Times New Roman" w:hAnsiTheme="majorBidi" w:cstheme="majorBidi"/>
          <w:sz w:val="24"/>
          <w:szCs w:val="24"/>
          <w:lang w:val="en-US" w:eastAsia="fr-FR"/>
        </w:rPr>
        <w:t xml:space="preserve"> energy markets or to the deep detrimental effects of an economic recession. Both situations would have the potential to jeopardize the viability of projects covered by CCfD, the contractual mechanism however </w:t>
      </w:r>
      <w:r w:rsidR="00A36F52">
        <w:rPr>
          <w:rFonts w:asciiTheme="majorBidi" w:eastAsia="Times New Roman" w:hAnsiTheme="majorBidi" w:cstheme="majorBidi"/>
          <w:sz w:val="24"/>
          <w:szCs w:val="24"/>
          <w:lang w:val="en-US" w:eastAsia="fr-FR"/>
        </w:rPr>
        <w:t>offers</w:t>
      </w:r>
      <w:r w:rsidRPr="00D806D9">
        <w:rPr>
          <w:rFonts w:asciiTheme="majorBidi" w:eastAsia="Times New Roman" w:hAnsiTheme="majorBidi" w:cstheme="majorBidi"/>
          <w:sz w:val="24"/>
          <w:szCs w:val="24"/>
          <w:lang w:val="en-US" w:eastAsia="fr-FR"/>
        </w:rPr>
        <w:t xml:space="preserve"> operators the possibility to rely on public authorities to recoup part of their investment. These defenses could incentive </w:t>
      </w:r>
      <w:r w:rsidR="00A36F52">
        <w:rPr>
          <w:rFonts w:asciiTheme="majorBidi" w:eastAsia="Times New Roman" w:hAnsiTheme="majorBidi" w:cstheme="majorBidi"/>
          <w:sz w:val="24"/>
          <w:szCs w:val="24"/>
          <w:lang w:val="en-US" w:eastAsia="fr-FR"/>
        </w:rPr>
        <w:t>risk-tolerant</w:t>
      </w:r>
      <w:r w:rsidRPr="00D806D9">
        <w:rPr>
          <w:rFonts w:asciiTheme="majorBidi" w:eastAsia="Times New Roman" w:hAnsiTheme="majorBidi" w:cstheme="majorBidi"/>
          <w:sz w:val="24"/>
          <w:szCs w:val="24"/>
          <w:lang w:val="en-US" w:eastAsia="fr-FR"/>
        </w:rPr>
        <w:t xml:space="preserve"> financial investment behavior</w:t>
      </w:r>
      <w:r w:rsidR="008D301A" w:rsidRPr="00D806D9">
        <w:rPr>
          <w:rFonts w:asciiTheme="majorBidi" w:eastAsia="Times New Roman" w:hAnsiTheme="majorBidi" w:cstheme="majorBidi"/>
          <w:sz w:val="24"/>
          <w:szCs w:val="24"/>
          <w:lang w:val="en-US" w:eastAsia="fr-FR"/>
        </w:rPr>
        <w:t xml:space="preserve"> from both sides</w:t>
      </w:r>
      <w:r w:rsidRPr="00D806D9">
        <w:rPr>
          <w:rFonts w:asciiTheme="majorBidi" w:eastAsia="Times New Roman" w:hAnsiTheme="majorBidi" w:cstheme="majorBidi"/>
          <w:sz w:val="24"/>
          <w:szCs w:val="24"/>
          <w:lang w:val="en-US" w:eastAsia="fr-FR"/>
        </w:rPr>
        <w:t>.</w:t>
      </w:r>
    </w:p>
    <w:p w14:paraId="1DB1B6CC" w14:textId="22BB2B0E" w:rsidR="00033CF9" w:rsidRPr="00D806D9" w:rsidRDefault="00033CF9"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p>
    <w:p w14:paraId="016F6D10" w14:textId="77777777" w:rsidR="00717086" w:rsidRPr="00D806D9" w:rsidRDefault="00717086"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p>
    <w:p w14:paraId="45BE6B74" w14:textId="6A806153" w:rsidR="00033CF9" w:rsidRPr="00D806D9" w:rsidRDefault="00033CF9" w:rsidP="00D806D9">
      <w:pPr>
        <w:spacing w:after="0" w:line="480" w:lineRule="auto"/>
        <w:ind w:left="1418" w:hanging="710"/>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4.3.</w:t>
      </w:r>
      <w:r w:rsidRPr="00D806D9">
        <w:rPr>
          <w:rFonts w:asciiTheme="majorBidi" w:hAnsiTheme="majorBidi" w:cstheme="majorBidi"/>
          <w:b/>
          <w:bCs/>
          <w:sz w:val="24"/>
          <w:szCs w:val="24"/>
          <w:lang w:val="en-US"/>
        </w:rPr>
        <w:tab/>
        <w:t>Institutional risk</w:t>
      </w:r>
      <w:r w:rsidR="00DE6F85">
        <w:rPr>
          <w:rFonts w:asciiTheme="majorBidi" w:hAnsiTheme="majorBidi" w:cstheme="majorBidi"/>
          <w:b/>
          <w:bCs/>
          <w:sz w:val="24"/>
          <w:szCs w:val="24"/>
          <w:lang w:val="en-US"/>
        </w:rPr>
        <w:t>s</w:t>
      </w:r>
      <w:r w:rsidRPr="00D806D9">
        <w:rPr>
          <w:rFonts w:asciiTheme="majorBidi" w:hAnsiTheme="majorBidi" w:cstheme="majorBidi"/>
          <w:b/>
          <w:bCs/>
          <w:sz w:val="24"/>
          <w:szCs w:val="24"/>
          <w:lang w:val="en-US"/>
        </w:rPr>
        <w:t xml:space="preserve"> related to the technology</w:t>
      </w:r>
    </w:p>
    <w:p w14:paraId="352D1596" w14:textId="77777777" w:rsidR="00033CF9" w:rsidRPr="00D806D9" w:rsidRDefault="00033CF9" w:rsidP="00D806D9">
      <w:pPr>
        <w:spacing w:after="0" w:line="480" w:lineRule="auto"/>
        <w:jc w:val="both"/>
        <w:rPr>
          <w:rFonts w:asciiTheme="majorBidi" w:hAnsiTheme="majorBidi" w:cstheme="majorBidi"/>
          <w:b/>
          <w:bCs/>
          <w:sz w:val="24"/>
          <w:szCs w:val="24"/>
          <w:lang w:val="en-US"/>
        </w:rPr>
      </w:pPr>
    </w:p>
    <w:p w14:paraId="1DA1EA2B" w14:textId="0B827E20" w:rsidR="00033CF9" w:rsidRPr="00D806D9" w:rsidRDefault="00033CF9" w:rsidP="00D806D9">
      <w:pPr>
        <w:spacing w:after="0" w:line="480" w:lineRule="auto"/>
        <w:ind w:firstLine="708"/>
        <w:jc w:val="both"/>
        <w:rPr>
          <w:rFonts w:asciiTheme="majorBidi" w:hAnsiTheme="majorBidi" w:cstheme="majorBidi"/>
          <w:color w:val="FF0000"/>
          <w:sz w:val="24"/>
          <w:szCs w:val="24"/>
          <w:lang w:val="en-US"/>
        </w:rPr>
      </w:pPr>
      <w:r w:rsidRPr="00D806D9">
        <w:rPr>
          <w:rFonts w:asciiTheme="majorBidi" w:eastAsia="Times New Roman" w:hAnsiTheme="majorBidi" w:cstheme="majorBidi"/>
          <w:color w:val="000000"/>
          <w:sz w:val="24"/>
          <w:szCs w:val="24"/>
          <w:lang w:val="en-US" w:eastAsia="fr-FR" w:bidi="he-IL"/>
        </w:rPr>
        <w:t>First, defini</w:t>
      </w:r>
      <w:r w:rsidR="00A36F52">
        <w:rPr>
          <w:rFonts w:asciiTheme="majorBidi" w:eastAsia="Times New Roman" w:hAnsiTheme="majorBidi" w:cstheme="majorBidi"/>
          <w:color w:val="000000"/>
          <w:sz w:val="24"/>
          <w:szCs w:val="24"/>
          <w:lang w:val="en-US" w:eastAsia="fr-FR" w:bidi="he-IL"/>
        </w:rPr>
        <w:t>ng</w:t>
      </w:r>
      <w:r w:rsidRPr="00D806D9">
        <w:rPr>
          <w:rFonts w:asciiTheme="majorBidi" w:eastAsia="Times New Roman" w:hAnsiTheme="majorBidi" w:cstheme="majorBidi"/>
          <w:color w:val="000000"/>
          <w:sz w:val="24"/>
          <w:szCs w:val="24"/>
          <w:lang w:val="en-US" w:eastAsia="fr-FR" w:bidi="he-IL"/>
        </w:rPr>
        <w:t xml:space="preserve"> LCH </w:t>
      </w:r>
      <w:r w:rsidR="00A36F52">
        <w:rPr>
          <w:rFonts w:asciiTheme="majorBidi" w:eastAsia="Times New Roman" w:hAnsiTheme="majorBidi" w:cstheme="majorBidi"/>
          <w:color w:val="000000"/>
          <w:sz w:val="24"/>
          <w:szCs w:val="24"/>
          <w:lang w:val="en-US" w:eastAsia="fr-FR" w:bidi="he-IL"/>
        </w:rPr>
        <w:t>and related technologies is</w:t>
      </w:r>
      <w:r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 xml:space="preserve">problematic. As </w:t>
      </w:r>
      <w:r w:rsidRPr="00D806D9">
        <w:rPr>
          <w:rFonts w:asciiTheme="majorBidi" w:hAnsiTheme="majorBidi" w:cstheme="majorBidi"/>
          <w:sz w:val="24"/>
          <w:szCs w:val="24"/>
          <w:lang w:val="en-US"/>
        </w:rPr>
        <w:t>it requires electricity for its production, the EC declared that an additionality principle should guide LCH production, i.e.</w:t>
      </w:r>
      <w:r w:rsidR="00F13F53">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electricity used for this purpose would have to be sourced from new dedicated </w:t>
      </w:r>
      <w:r w:rsidR="00397B73">
        <w:rPr>
          <w:rFonts w:asciiTheme="majorBidi" w:hAnsiTheme="majorBidi" w:cstheme="majorBidi"/>
          <w:sz w:val="24"/>
          <w:szCs w:val="24"/>
          <w:lang w:val="en-US"/>
        </w:rPr>
        <w:t>low-carbon</w:t>
      </w:r>
      <w:r w:rsidRPr="00D806D9">
        <w:rPr>
          <w:rFonts w:asciiTheme="majorBidi" w:hAnsiTheme="majorBidi" w:cstheme="majorBidi"/>
          <w:sz w:val="24"/>
          <w:szCs w:val="24"/>
          <w:lang w:val="en-US"/>
        </w:rPr>
        <w:t xml:space="preserve"> installations to avoid further use of fossil fuels. If rather logical with the aim of maintaining the overall EU productive output and its climate ambitions, this principle however represents a tradeoff with both the geostrategic and climatic urgenc</w:t>
      </w:r>
      <w:r w:rsidR="00044C59" w:rsidRPr="00D806D9">
        <w:rPr>
          <w:rFonts w:asciiTheme="majorBidi" w:hAnsiTheme="majorBidi" w:cstheme="majorBidi"/>
          <w:sz w:val="24"/>
          <w:szCs w:val="24"/>
          <w:lang w:val="en-US"/>
        </w:rPr>
        <w:t xml:space="preserve">ies </w:t>
      </w:r>
      <w:r w:rsidRPr="00D806D9">
        <w:rPr>
          <w:rFonts w:asciiTheme="majorBidi" w:hAnsiTheme="majorBidi" w:cstheme="majorBidi"/>
          <w:sz w:val="24"/>
          <w:szCs w:val="24"/>
          <w:lang w:val="en-US"/>
        </w:rPr>
        <w:t>at hand</w:t>
      </w:r>
      <w:r w:rsidR="00044C59" w:rsidRPr="00D806D9">
        <w:rPr>
          <w:rFonts w:asciiTheme="majorBidi" w:hAnsiTheme="majorBidi" w:cstheme="majorBidi"/>
          <w:sz w:val="24"/>
          <w:szCs w:val="24"/>
          <w:lang w:val="en-US"/>
        </w:rPr>
        <w:t xml:space="preserve"> claimed as being priorities</w:t>
      </w:r>
      <w:r w:rsidRPr="00D806D9">
        <w:rPr>
          <w:rFonts w:asciiTheme="majorBidi" w:hAnsiTheme="majorBidi" w:cstheme="majorBidi"/>
          <w:sz w:val="24"/>
          <w:szCs w:val="24"/>
          <w:lang w:val="en-US"/>
        </w:rPr>
        <w:t xml:space="preserve">. What is more, limits are </w:t>
      </w:r>
      <w:r w:rsidR="00F13F53">
        <w:rPr>
          <w:rFonts w:asciiTheme="majorBidi" w:hAnsiTheme="majorBidi" w:cstheme="majorBidi"/>
          <w:sz w:val="24"/>
          <w:szCs w:val="24"/>
          <w:lang w:val="en-US"/>
        </w:rPr>
        <w:t>un</w:t>
      </w:r>
      <w:r w:rsidRPr="00D806D9">
        <w:rPr>
          <w:rFonts w:asciiTheme="majorBidi" w:hAnsiTheme="majorBidi" w:cstheme="majorBidi"/>
          <w:sz w:val="24"/>
          <w:szCs w:val="24"/>
          <w:lang w:val="en-US"/>
        </w:rPr>
        <w:t xml:space="preserve">clear regarding what corresponds to LCH. Should the primary energy source </w:t>
      </w:r>
      <w:r w:rsidR="00A36F52">
        <w:rPr>
          <w:rFonts w:asciiTheme="majorBidi" w:hAnsiTheme="majorBidi" w:cstheme="majorBidi"/>
          <w:sz w:val="24"/>
          <w:szCs w:val="24"/>
          <w:lang w:val="en-US"/>
        </w:rPr>
        <w:t>be</w:t>
      </w:r>
      <w:r w:rsidRPr="00D806D9">
        <w:rPr>
          <w:rFonts w:asciiTheme="majorBidi" w:hAnsiTheme="majorBidi" w:cstheme="majorBidi"/>
          <w:sz w:val="24"/>
          <w:szCs w:val="24"/>
          <w:lang w:val="en-US"/>
        </w:rPr>
        <w:t xml:space="preserve"> used as </w:t>
      </w:r>
      <w:r w:rsidR="00F13F53">
        <w:rPr>
          <w:rFonts w:asciiTheme="majorBidi" w:hAnsiTheme="majorBidi" w:cstheme="majorBidi"/>
          <w:sz w:val="24"/>
          <w:szCs w:val="24"/>
          <w:lang w:val="en-US"/>
        </w:rPr>
        <w:t xml:space="preserve">a </w:t>
      </w:r>
      <w:r w:rsidRPr="00D806D9">
        <w:rPr>
          <w:rFonts w:asciiTheme="majorBidi" w:hAnsiTheme="majorBidi" w:cstheme="majorBidi"/>
          <w:sz w:val="24"/>
          <w:szCs w:val="24"/>
          <w:lang w:val="en-US"/>
        </w:rPr>
        <w:t>reference or a certain level of GHGE and</w:t>
      </w:r>
      <w:r w:rsidR="001342A0"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if so</w:t>
      </w:r>
      <w:r w:rsidR="001342A0"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over which section of the productive process? A consultation was </w:t>
      </w:r>
      <w:r w:rsidR="00F13F53">
        <w:rPr>
          <w:rFonts w:asciiTheme="majorBidi" w:hAnsiTheme="majorBidi" w:cstheme="majorBidi"/>
          <w:sz w:val="24"/>
          <w:szCs w:val="24"/>
          <w:lang w:val="en-US"/>
        </w:rPr>
        <w:t>held</w:t>
      </w:r>
      <w:r w:rsidRPr="00D806D9">
        <w:rPr>
          <w:rFonts w:asciiTheme="majorBidi" w:hAnsiTheme="majorBidi" w:cstheme="majorBidi"/>
          <w:sz w:val="24"/>
          <w:szCs w:val="24"/>
          <w:lang w:val="en-US"/>
        </w:rPr>
        <w:t xml:space="preserve"> until June 17</w:t>
      </w:r>
      <w:r w:rsidRPr="00D806D9">
        <w:rPr>
          <w:rFonts w:asciiTheme="majorBidi" w:hAnsiTheme="majorBidi" w:cstheme="majorBidi"/>
          <w:sz w:val="24"/>
          <w:szCs w:val="24"/>
          <w:vertAlign w:val="superscript"/>
          <w:lang w:val="en-US"/>
        </w:rPr>
        <w:t>th</w:t>
      </w:r>
      <w:r w:rsidR="00A36F52">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2022 over these </w:t>
      </w:r>
      <w:r w:rsidR="000C543E">
        <w:rPr>
          <w:rFonts w:asciiTheme="majorBidi" w:hAnsiTheme="majorBidi" w:cstheme="majorBidi"/>
          <w:sz w:val="24"/>
          <w:szCs w:val="24"/>
          <w:lang w:val="en-US"/>
        </w:rPr>
        <w:t>topics</w:t>
      </w:r>
      <w:r w:rsidRPr="00D806D9">
        <w:rPr>
          <w:rFonts w:asciiTheme="majorBidi" w:hAnsiTheme="majorBidi" w:cstheme="majorBidi"/>
          <w:sz w:val="24"/>
          <w:szCs w:val="24"/>
          <w:lang w:val="en-US"/>
        </w:rPr>
        <w:t xml:space="preserve"> and the EC is to release its final legislative proposal by Q4 2022. However, the draft presented </w:t>
      </w:r>
      <w:r w:rsidR="00A36F52">
        <w:rPr>
          <w:rFonts w:asciiTheme="majorBidi" w:hAnsiTheme="majorBidi" w:cstheme="majorBidi"/>
          <w:sz w:val="24"/>
          <w:szCs w:val="24"/>
          <w:lang w:val="en-US"/>
        </w:rPr>
        <w:t>in</w:t>
      </w:r>
      <w:r w:rsidRPr="00D806D9">
        <w:rPr>
          <w:rFonts w:asciiTheme="majorBidi" w:hAnsiTheme="majorBidi" w:cstheme="majorBidi"/>
          <w:sz w:val="24"/>
          <w:szCs w:val="24"/>
          <w:lang w:val="en-US"/>
        </w:rPr>
        <w:t xml:space="preserve"> May 2022 with the RePowerEU plan showed a strong issue. Indeed, it would apply only from 20</w:t>
      </w:r>
      <w:r w:rsidR="002D5E00" w:rsidRPr="00D806D9">
        <w:rPr>
          <w:rFonts w:asciiTheme="majorBidi" w:hAnsiTheme="majorBidi" w:cstheme="majorBidi"/>
          <w:sz w:val="24"/>
          <w:szCs w:val="24"/>
          <w:lang w:val="en-US"/>
        </w:rPr>
        <w:t>2</w:t>
      </w:r>
      <w:r w:rsidRPr="00D806D9">
        <w:rPr>
          <w:rFonts w:asciiTheme="majorBidi" w:hAnsiTheme="majorBidi" w:cstheme="majorBidi"/>
          <w:sz w:val="24"/>
          <w:szCs w:val="24"/>
          <w:lang w:val="en-US"/>
        </w:rPr>
        <w:t xml:space="preserve">7 allowing a grandfathering of actual capacities, and this without limiting the </w:t>
      </w:r>
      <w:r w:rsidR="00875B6F">
        <w:rPr>
          <w:rFonts w:asciiTheme="majorBidi" w:hAnsiTheme="majorBidi" w:cstheme="majorBidi"/>
          <w:sz w:val="24"/>
          <w:szCs w:val="24"/>
          <w:lang w:val="en-US"/>
        </w:rPr>
        <w:t>possibility</w:t>
      </w:r>
      <w:r w:rsidRPr="00D806D9">
        <w:rPr>
          <w:rFonts w:asciiTheme="majorBidi" w:hAnsiTheme="majorBidi" w:cstheme="majorBidi"/>
          <w:sz w:val="24"/>
          <w:szCs w:val="24"/>
          <w:lang w:val="en-US"/>
        </w:rPr>
        <w:t xml:space="preserve"> of contracting them for future supply. This </w:t>
      </w:r>
      <w:r w:rsidR="002D5E00" w:rsidRPr="00D806D9">
        <w:rPr>
          <w:rFonts w:asciiTheme="majorBidi" w:hAnsiTheme="majorBidi" w:cstheme="majorBidi"/>
          <w:sz w:val="24"/>
          <w:szCs w:val="24"/>
          <w:lang w:val="en-US"/>
        </w:rPr>
        <w:t xml:space="preserve">potential </w:t>
      </w:r>
      <w:r w:rsidRPr="00D806D9">
        <w:rPr>
          <w:rFonts w:asciiTheme="majorBidi" w:hAnsiTheme="majorBidi" w:cstheme="majorBidi"/>
          <w:sz w:val="24"/>
          <w:szCs w:val="24"/>
          <w:lang w:val="en-US"/>
        </w:rPr>
        <w:t xml:space="preserve">flaw would allow for exactly what it </w:t>
      </w:r>
      <w:r w:rsidR="00875B6F">
        <w:rPr>
          <w:rFonts w:asciiTheme="majorBidi" w:hAnsiTheme="majorBidi" w:cstheme="majorBidi"/>
          <w:sz w:val="24"/>
          <w:szCs w:val="24"/>
          <w:lang w:val="en-US"/>
        </w:rPr>
        <w:t>tries</w:t>
      </w:r>
      <w:r w:rsidRPr="00D806D9">
        <w:rPr>
          <w:rFonts w:asciiTheme="majorBidi" w:hAnsiTheme="majorBidi" w:cstheme="majorBidi"/>
          <w:sz w:val="24"/>
          <w:szCs w:val="24"/>
          <w:lang w:val="en-US"/>
        </w:rPr>
        <w:t xml:space="preserve"> to avoid: an increase </w:t>
      </w:r>
      <w:r w:rsidR="00875B6F">
        <w:rPr>
          <w:rFonts w:asciiTheme="majorBidi" w:hAnsiTheme="majorBidi" w:cstheme="majorBidi"/>
          <w:sz w:val="24"/>
          <w:szCs w:val="24"/>
          <w:lang w:val="en-US"/>
        </w:rPr>
        <w:t>in</w:t>
      </w:r>
      <w:r w:rsidRPr="00D806D9">
        <w:rPr>
          <w:rFonts w:asciiTheme="majorBidi" w:hAnsiTheme="majorBidi" w:cstheme="majorBidi"/>
          <w:sz w:val="24"/>
          <w:szCs w:val="24"/>
          <w:lang w:val="en-US"/>
        </w:rPr>
        <w:t xml:space="preserve"> fossil </w:t>
      </w:r>
      <w:r w:rsidR="00875B6F">
        <w:rPr>
          <w:rFonts w:asciiTheme="majorBidi" w:hAnsiTheme="majorBidi" w:cstheme="majorBidi"/>
          <w:sz w:val="24"/>
          <w:szCs w:val="24"/>
          <w:lang w:val="en-US"/>
        </w:rPr>
        <w:t>fuel</w:t>
      </w:r>
      <w:r w:rsidRPr="00D806D9">
        <w:rPr>
          <w:rFonts w:asciiTheme="majorBidi" w:hAnsiTheme="majorBidi" w:cstheme="majorBidi"/>
          <w:sz w:val="24"/>
          <w:szCs w:val="24"/>
          <w:lang w:val="en-US"/>
        </w:rPr>
        <w:t xml:space="preserve"> use and therefore GHGE linked to hydrogen generation. Interestingly, this was part of the hydrogen </w:t>
      </w:r>
      <w:r w:rsidR="00DF2F9C" w:rsidRPr="00D806D9">
        <w:rPr>
          <w:rFonts w:asciiTheme="majorBidi" w:hAnsiTheme="majorBidi" w:cstheme="majorBidi"/>
          <w:sz w:val="24"/>
          <w:szCs w:val="24"/>
          <w:lang w:val="en-US"/>
        </w:rPr>
        <w:t>i</w:t>
      </w:r>
      <w:r w:rsidR="00DF2F9C">
        <w:rPr>
          <w:rFonts w:asciiTheme="majorBidi" w:hAnsiTheme="majorBidi" w:cstheme="majorBidi"/>
          <w:sz w:val="24"/>
          <w:szCs w:val="24"/>
          <w:lang w:val="en-US"/>
        </w:rPr>
        <w:t xml:space="preserve">ndustry’s </w:t>
      </w:r>
      <w:r w:rsidR="00DF2F9C" w:rsidRPr="00D806D9">
        <w:rPr>
          <w:rFonts w:asciiTheme="majorBidi" w:hAnsiTheme="majorBidi" w:cstheme="majorBidi"/>
          <w:sz w:val="24"/>
          <w:szCs w:val="24"/>
          <w:lang w:val="en-US"/>
        </w:rPr>
        <w:t>demands</w:t>
      </w:r>
      <w:r w:rsidRPr="00D806D9">
        <w:rPr>
          <w:rFonts w:asciiTheme="majorBidi" w:hAnsiTheme="majorBidi" w:cstheme="majorBidi"/>
          <w:sz w:val="24"/>
          <w:szCs w:val="24"/>
          <w:lang w:val="en-US"/>
        </w:rPr>
        <w:t xml:space="preserve"> to the EC back in December 2021</w:t>
      </w:r>
      <w:r w:rsidR="0001569A" w:rsidRPr="00D806D9">
        <w:rPr>
          <w:rFonts w:asciiTheme="majorBidi" w:hAnsiTheme="majorBidi" w:cstheme="majorBidi"/>
          <w:sz w:val="24"/>
          <w:szCs w:val="24"/>
          <w:lang w:val="en-US"/>
        </w:rPr>
        <w:t xml:space="preserve"> (Hydrogen Europe, 2021)</w:t>
      </w:r>
      <w:r w:rsidRPr="00D806D9">
        <w:rPr>
          <w:rFonts w:asciiTheme="majorBidi" w:hAnsiTheme="majorBidi" w:cstheme="majorBidi"/>
          <w:sz w:val="24"/>
          <w:szCs w:val="24"/>
          <w:lang w:val="en-US"/>
        </w:rPr>
        <w:t>.</w:t>
      </w:r>
    </w:p>
    <w:p w14:paraId="67A142D1" w14:textId="2932907A" w:rsidR="00033CF9" w:rsidRPr="00D806D9" w:rsidRDefault="00033CF9"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Second, the information asymmetry is particularly complicated in the case of CCfD for hydrogen. As seen, LCH offers transversal applications, complexifying all the more innovative projects. Indeed, the synergies and complementariness of these solutions, themselves based on state</w:t>
      </w:r>
      <w:r w:rsidR="00875B6F">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of</w:t>
      </w:r>
      <w:r w:rsidR="00875B6F">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the</w:t>
      </w:r>
      <w:r w:rsidR="00875B6F">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art technologies, imply very technical and specialized knowledge. Consequently, the knowledge required to properly assess them is cross-sectorial and more than proportionally augmented compared to the number of </w:t>
      </w:r>
      <w:r w:rsidRPr="00D806D9">
        <w:rPr>
          <w:rFonts w:asciiTheme="majorBidi" w:eastAsia="Times New Roman" w:hAnsiTheme="majorBidi" w:cstheme="majorBidi"/>
          <w:color w:val="000000"/>
          <w:sz w:val="24"/>
          <w:szCs w:val="24"/>
          <w:lang w:val="en-US" w:eastAsia="fr-FR" w:bidi="he-IL"/>
        </w:rPr>
        <w:lastRenderedPageBreak/>
        <w:t xml:space="preserve">actors/industries involved. This reduces all the more the pool of experts capable of conducting such </w:t>
      </w:r>
      <w:r w:rsidR="00F13F53">
        <w:rPr>
          <w:rFonts w:asciiTheme="majorBidi" w:eastAsia="Times New Roman" w:hAnsiTheme="majorBidi" w:cstheme="majorBidi"/>
          <w:color w:val="000000"/>
          <w:sz w:val="24"/>
          <w:szCs w:val="24"/>
          <w:lang w:val="en-US" w:eastAsia="fr-FR" w:bidi="he-IL"/>
        </w:rPr>
        <w:t xml:space="preserve">an </w:t>
      </w:r>
      <w:r w:rsidRPr="00D806D9">
        <w:rPr>
          <w:rFonts w:asciiTheme="majorBidi" w:eastAsia="Times New Roman" w:hAnsiTheme="majorBidi" w:cstheme="majorBidi"/>
          <w:color w:val="000000"/>
          <w:sz w:val="24"/>
          <w:szCs w:val="24"/>
          <w:lang w:val="en-US" w:eastAsia="fr-FR" w:bidi="he-IL"/>
        </w:rPr>
        <w:t xml:space="preserve">evaluation in turn diminishing the </w:t>
      </w:r>
      <w:r w:rsidR="00875B6F">
        <w:rPr>
          <w:rFonts w:asciiTheme="majorBidi" w:eastAsia="Times New Roman" w:hAnsiTheme="majorBidi" w:cstheme="majorBidi"/>
          <w:color w:val="000000"/>
          <w:sz w:val="24"/>
          <w:szCs w:val="24"/>
          <w:lang w:val="en-US" w:eastAsia="fr-FR" w:bidi="he-IL"/>
        </w:rPr>
        <w:t>IF’s</w:t>
      </w:r>
      <w:r w:rsidRPr="00D806D9">
        <w:rPr>
          <w:rFonts w:asciiTheme="majorBidi" w:eastAsia="Times New Roman" w:hAnsiTheme="majorBidi" w:cstheme="majorBidi"/>
          <w:color w:val="000000"/>
          <w:sz w:val="24"/>
          <w:szCs w:val="24"/>
          <w:lang w:val="en-US" w:eastAsia="fr-FR" w:bidi="he-IL"/>
        </w:rPr>
        <w:t xml:space="preserve"> ability to recruit competent professionals. Thus, </w:t>
      </w:r>
      <w:r w:rsidR="00875B6F">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probabilities of conflict of interest and regulatory capture </w:t>
      </w:r>
      <w:r w:rsidR="00875B6F">
        <w:rPr>
          <w:rFonts w:asciiTheme="majorBidi" w:eastAsia="Times New Roman" w:hAnsiTheme="majorBidi" w:cstheme="majorBidi"/>
          <w:color w:val="000000"/>
          <w:sz w:val="24"/>
          <w:szCs w:val="24"/>
          <w:lang w:val="en-US" w:eastAsia="fr-FR" w:bidi="he-IL"/>
        </w:rPr>
        <w:t>are</w:t>
      </w:r>
      <w:r w:rsidRPr="00D806D9">
        <w:rPr>
          <w:rFonts w:asciiTheme="majorBidi" w:eastAsia="Times New Roman" w:hAnsiTheme="majorBidi" w:cstheme="majorBidi"/>
          <w:color w:val="000000"/>
          <w:sz w:val="24"/>
          <w:szCs w:val="24"/>
          <w:lang w:val="en-US" w:eastAsia="fr-FR" w:bidi="he-IL"/>
        </w:rPr>
        <w:t xml:space="preserve"> multiplied. Even though mitigation strategies are in place</w:t>
      </w:r>
      <w:r w:rsidR="00BC533D">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such as recruitment selection, mutualization of information at the EU level (e.g. Joint Research Center and industr</w:t>
      </w:r>
      <w:r w:rsidR="00BC533D">
        <w:rPr>
          <w:rFonts w:asciiTheme="majorBidi" w:eastAsia="Times New Roman" w:hAnsiTheme="majorBidi" w:cstheme="majorBidi"/>
          <w:color w:val="000000"/>
          <w:sz w:val="24"/>
          <w:szCs w:val="24"/>
          <w:lang w:val="en-US" w:eastAsia="fr-FR" w:bidi="he-IL"/>
        </w:rPr>
        <w:t>y</w:t>
      </w:r>
      <w:r w:rsidRPr="00D806D9">
        <w:rPr>
          <w:rFonts w:asciiTheme="majorBidi" w:eastAsia="Times New Roman" w:hAnsiTheme="majorBidi" w:cstheme="majorBidi"/>
          <w:color w:val="000000"/>
          <w:sz w:val="24"/>
          <w:szCs w:val="24"/>
          <w:lang w:val="en-US" w:eastAsia="fr-FR" w:bidi="he-IL"/>
        </w:rPr>
        <w:t xml:space="preserve"> benchmarks)</w:t>
      </w:r>
      <w:r w:rsidR="00875B6F">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or through project evaluation, the inherent tradeoff between knowledge and impartiality remains. This scarcity is even explicitly anticipated by the EC as experts are immediately excluded when considered in direct conflict of interest unless “participation is justified by the re</w:t>
      </w:r>
      <w:r w:rsidRPr="00D806D9">
        <w:rPr>
          <w:rFonts w:asciiTheme="majorBidi" w:eastAsia="Times New Roman" w:hAnsiTheme="majorBidi" w:cstheme="majorBidi"/>
          <w:sz w:val="24"/>
          <w:szCs w:val="24"/>
          <w:lang w:val="en-US" w:eastAsia="fr-FR" w:bidi="he-IL"/>
        </w:rPr>
        <w:t>quirement to appoint the best available experts and by the limited size of the pool of qualified experts” (EC, 2022</w:t>
      </w:r>
      <w:r w:rsidR="003675EC" w:rsidRPr="00D806D9">
        <w:rPr>
          <w:rFonts w:asciiTheme="majorBidi" w:eastAsia="Times New Roman" w:hAnsiTheme="majorBidi" w:cstheme="majorBidi"/>
          <w:sz w:val="24"/>
          <w:szCs w:val="24"/>
          <w:lang w:val="en-US" w:eastAsia="fr-FR" w:bidi="he-IL"/>
        </w:rPr>
        <w:t>d</w:t>
      </w:r>
      <w:r w:rsidRPr="00D806D9">
        <w:rPr>
          <w:rFonts w:asciiTheme="majorBidi" w:eastAsia="Times New Roman" w:hAnsiTheme="majorBidi" w:cstheme="majorBidi"/>
          <w:sz w:val="24"/>
          <w:szCs w:val="24"/>
          <w:lang w:val="en-US" w:eastAsia="fr-FR" w:bidi="he-IL"/>
        </w:rPr>
        <w:t xml:space="preserve">, p.3). To sum up, </w:t>
      </w:r>
      <w:r w:rsidR="00286AB4">
        <w:rPr>
          <w:rFonts w:asciiTheme="majorBidi" w:eastAsia="Times New Roman" w:hAnsiTheme="majorBidi" w:cstheme="majorBidi"/>
          <w:sz w:val="24"/>
          <w:szCs w:val="24"/>
          <w:lang w:val="en-US" w:eastAsia="fr-FR" w:bidi="he-IL"/>
        </w:rPr>
        <w:t>there</w:t>
      </w:r>
      <w:r w:rsidRPr="00D806D9">
        <w:rPr>
          <w:rFonts w:asciiTheme="majorBidi" w:eastAsia="Times New Roman" w:hAnsiTheme="majorBidi" w:cstheme="majorBidi"/>
          <w:sz w:val="24"/>
          <w:szCs w:val="24"/>
          <w:lang w:val="en-US" w:eastAsia="fr-FR" w:bidi="he-IL"/>
        </w:rPr>
        <w:t xml:space="preserve"> </w:t>
      </w:r>
      <w:r w:rsidR="00875B6F">
        <w:rPr>
          <w:rFonts w:asciiTheme="majorBidi" w:eastAsia="Times New Roman" w:hAnsiTheme="majorBidi" w:cstheme="majorBidi"/>
          <w:sz w:val="24"/>
          <w:szCs w:val="24"/>
          <w:lang w:val="en-US" w:eastAsia="fr-FR" w:bidi="he-IL"/>
        </w:rPr>
        <w:t>exists</w:t>
      </w:r>
      <w:r w:rsidRPr="00D806D9">
        <w:rPr>
          <w:rFonts w:asciiTheme="majorBidi" w:eastAsia="Times New Roman" w:hAnsiTheme="majorBidi" w:cstheme="majorBidi"/>
          <w:sz w:val="24"/>
          <w:szCs w:val="24"/>
          <w:lang w:val="en-US" w:eastAsia="fr-FR" w:bidi="he-IL"/>
        </w:rPr>
        <w:t xml:space="preserve"> an expertise deficiency </w:t>
      </w:r>
      <w:r w:rsidR="00875B6F">
        <w:rPr>
          <w:rFonts w:asciiTheme="majorBidi" w:eastAsia="Times New Roman" w:hAnsiTheme="majorBidi" w:cstheme="majorBidi"/>
          <w:sz w:val="24"/>
          <w:szCs w:val="24"/>
          <w:lang w:val="en-US" w:eastAsia="fr-FR" w:bidi="he-IL"/>
        </w:rPr>
        <w:t>that</w:t>
      </w:r>
      <w:r w:rsidRPr="00D806D9">
        <w:rPr>
          <w:rFonts w:asciiTheme="majorBidi" w:eastAsia="Times New Roman" w:hAnsiTheme="majorBidi" w:cstheme="majorBidi"/>
          <w:sz w:val="24"/>
          <w:szCs w:val="24"/>
          <w:lang w:val="en-US" w:eastAsia="fr-FR" w:bidi="he-IL"/>
        </w:rPr>
        <w:t xml:space="preserve"> dramatically increase</w:t>
      </w:r>
      <w:r w:rsidR="00875B6F">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 </w:t>
      </w:r>
      <w:r w:rsidR="00EA2FDB">
        <w:rPr>
          <w:rFonts w:asciiTheme="majorBidi" w:eastAsia="Times New Roman" w:hAnsiTheme="majorBidi" w:cstheme="majorBidi"/>
          <w:sz w:val="24"/>
          <w:szCs w:val="24"/>
          <w:lang w:val="en-US" w:eastAsia="fr-FR" w:bidi="he-IL"/>
        </w:rPr>
        <w:t xml:space="preserve">the possibility of </w:t>
      </w:r>
      <w:r w:rsidRPr="00D806D9">
        <w:rPr>
          <w:rFonts w:asciiTheme="majorBidi" w:eastAsia="Times New Roman" w:hAnsiTheme="majorBidi" w:cstheme="majorBidi"/>
          <w:sz w:val="24"/>
          <w:szCs w:val="24"/>
          <w:lang w:val="en-US" w:eastAsia="fr-FR" w:bidi="he-IL"/>
        </w:rPr>
        <w:t xml:space="preserve">conflict of interest </w:t>
      </w:r>
      <w:r w:rsidRPr="00D806D9">
        <w:rPr>
          <w:rFonts w:asciiTheme="majorBidi" w:eastAsia="Times New Roman" w:hAnsiTheme="majorBidi" w:cstheme="majorBidi"/>
          <w:color w:val="000000"/>
          <w:sz w:val="24"/>
          <w:szCs w:val="24"/>
          <w:lang w:val="en-US" w:eastAsia="fr-FR" w:bidi="he-IL"/>
        </w:rPr>
        <w:t xml:space="preserve">and </w:t>
      </w:r>
      <w:r w:rsidR="00286AB4">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risk of capture.</w:t>
      </w:r>
    </w:p>
    <w:p w14:paraId="308D4BE8" w14:textId="01D8360D" w:rsidR="00033CF9" w:rsidRPr="00D806D9" w:rsidRDefault="00033CF9" w:rsidP="00D806D9">
      <w:pPr>
        <w:pStyle w:val="Default"/>
        <w:spacing w:line="480" w:lineRule="auto"/>
        <w:ind w:firstLine="708"/>
        <w:jc w:val="both"/>
        <w:rPr>
          <w:rFonts w:asciiTheme="majorBidi" w:eastAsia="Times New Roman" w:hAnsiTheme="majorBidi" w:cstheme="majorBidi"/>
          <w:lang w:val="en-US" w:eastAsia="fr-FR"/>
        </w:rPr>
      </w:pPr>
      <w:r w:rsidRPr="00D806D9">
        <w:rPr>
          <w:rFonts w:asciiTheme="majorBidi" w:eastAsia="Times New Roman" w:hAnsiTheme="majorBidi" w:cstheme="majorBidi"/>
          <w:lang w:val="en-US" w:eastAsia="fr-FR"/>
        </w:rPr>
        <w:t>Third, the EC communicated that CCfD would be focusing on specific fields, namely LCH and electrification</w:t>
      </w:r>
      <w:r w:rsidR="00E35836" w:rsidRPr="00D806D9">
        <w:rPr>
          <w:rFonts w:asciiTheme="majorBidi" w:eastAsia="Times New Roman" w:hAnsiTheme="majorBidi" w:cstheme="majorBidi"/>
          <w:lang w:val="en-US" w:eastAsia="fr-FR"/>
        </w:rPr>
        <w:t xml:space="preserve">, </w:t>
      </w:r>
      <w:r w:rsidR="00875B6F">
        <w:rPr>
          <w:rFonts w:asciiTheme="majorBidi" w:eastAsia="Times New Roman" w:hAnsiTheme="majorBidi" w:cstheme="majorBidi"/>
          <w:lang w:val="en-US" w:eastAsia="fr-FR"/>
        </w:rPr>
        <w:t xml:space="preserve">which </w:t>
      </w:r>
      <w:r w:rsidR="00286AB4">
        <w:rPr>
          <w:rFonts w:asciiTheme="majorBidi" w:eastAsia="Times New Roman" w:hAnsiTheme="majorBidi" w:cstheme="majorBidi"/>
          <w:lang w:val="en-US" w:eastAsia="fr-FR"/>
        </w:rPr>
        <w:t>can</w:t>
      </w:r>
      <w:r w:rsidR="00E35836" w:rsidRPr="00D806D9">
        <w:rPr>
          <w:rFonts w:asciiTheme="majorBidi" w:eastAsia="Times New Roman" w:hAnsiTheme="majorBidi" w:cstheme="majorBidi"/>
          <w:lang w:val="en-US" w:eastAsia="fr-FR"/>
        </w:rPr>
        <w:t xml:space="preserve"> weaken the IF authority</w:t>
      </w:r>
      <w:r w:rsidRPr="00D806D9">
        <w:rPr>
          <w:rFonts w:asciiTheme="majorBidi" w:eastAsia="Times New Roman" w:hAnsiTheme="majorBidi" w:cstheme="majorBidi"/>
          <w:lang w:val="en-US" w:eastAsia="fr-FR"/>
        </w:rPr>
        <w:t>. This emphasis contradicts the technological neutrality principle</w:t>
      </w:r>
      <w:r w:rsidR="00286AB4">
        <w:rPr>
          <w:rFonts w:asciiTheme="majorBidi" w:eastAsia="Times New Roman" w:hAnsiTheme="majorBidi" w:cstheme="majorBidi"/>
          <w:lang w:val="en-US" w:eastAsia="fr-FR"/>
        </w:rPr>
        <w:t>,</w:t>
      </w:r>
      <w:r w:rsidR="00D32F17" w:rsidRPr="00D806D9">
        <w:rPr>
          <w:rFonts w:asciiTheme="majorBidi" w:eastAsia="Times New Roman" w:hAnsiTheme="majorBidi" w:cstheme="majorBidi"/>
          <w:lang w:val="en-US" w:eastAsia="fr-FR"/>
        </w:rPr>
        <w:t xml:space="preserve"> which the </w:t>
      </w:r>
      <w:r w:rsidR="004B6212" w:rsidRPr="00D806D9">
        <w:rPr>
          <w:rFonts w:asciiTheme="majorBidi" w:eastAsia="Times New Roman" w:hAnsiTheme="majorBidi" w:cstheme="majorBidi"/>
          <w:lang w:val="en-US" w:eastAsia="fr-FR"/>
        </w:rPr>
        <w:t>EC in its impact assessment for CCfD implementation within the EU-ETS reform</w:t>
      </w:r>
      <w:r w:rsidR="00286AB4">
        <w:rPr>
          <w:rFonts w:asciiTheme="majorBidi" w:eastAsia="Times New Roman" w:hAnsiTheme="majorBidi" w:cstheme="majorBidi"/>
          <w:lang w:val="en-US" w:eastAsia="fr-FR"/>
        </w:rPr>
        <w:t>,</w:t>
      </w:r>
      <w:r w:rsidR="004B6212" w:rsidRPr="00D806D9">
        <w:rPr>
          <w:rFonts w:asciiTheme="majorBidi" w:eastAsia="Times New Roman" w:hAnsiTheme="majorBidi" w:cstheme="majorBidi"/>
          <w:lang w:val="en-US" w:eastAsia="fr-FR"/>
        </w:rPr>
        <w:t xml:space="preserve"> maintained as fundamental (EC, 2021c, </w:t>
      </w:r>
      <w:r w:rsidR="00D32F17" w:rsidRPr="00D806D9">
        <w:rPr>
          <w:rFonts w:asciiTheme="majorBidi" w:eastAsia="Times New Roman" w:hAnsiTheme="majorBidi" w:cstheme="majorBidi"/>
          <w:lang w:val="en-US" w:eastAsia="fr-FR"/>
        </w:rPr>
        <w:t>p.65</w:t>
      </w:r>
      <w:r w:rsidR="004B6212" w:rsidRPr="00D806D9">
        <w:rPr>
          <w:rFonts w:asciiTheme="majorBidi" w:eastAsia="Times New Roman" w:hAnsiTheme="majorBidi" w:cstheme="majorBidi"/>
          <w:lang w:val="en-US" w:eastAsia="fr-FR"/>
        </w:rPr>
        <w:t>)</w:t>
      </w:r>
      <w:r w:rsidRPr="00D806D9">
        <w:rPr>
          <w:rFonts w:asciiTheme="majorBidi" w:eastAsia="Times New Roman" w:hAnsiTheme="majorBidi" w:cstheme="majorBidi"/>
          <w:lang w:val="en-US" w:eastAsia="fr-FR"/>
        </w:rPr>
        <w:t>.</w:t>
      </w:r>
      <w:r w:rsidR="00253D97" w:rsidRPr="00D806D9">
        <w:rPr>
          <w:rFonts w:asciiTheme="majorBidi" w:eastAsia="Times New Roman" w:hAnsiTheme="majorBidi" w:cstheme="majorBidi"/>
          <w:lang w:val="en-US" w:eastAsia="fr-FR"/>
        </w:rPr>
        <w:t xml:space="preserve"> Competitive processes should describe the result to be achieved without specifying the technology to be employed. This principle is a cornerstone in institutional innovation support operations to ensure the selection of cost-efficient </w:t>
      </w:r>
      <w:r w:rsidR="00875B6F">
        <w:rPr>
          <w:rFonts w:asciiTheme="majorBidi" w:eastAsia="Times New Roman" w:hAnsiTheme="majorBidi" w:cstheme="majorBidi"/>
          <w:lang w:val="en-US" w:eastAsia="fr-FR"/>
        </w:rPr>
        <w:t>solutions</w:t>
      </w:r>
      <w:r w:rsidR="00253D97" w:rsidRPr="00D806D9">
        <w:rPr>
          <w:rFonts w:asciiTheme="majorBidi" w:eastAsia="Times New Roman" w:hAnsiTheme="majorBidi" w:cstheme="majorBidi"/>
          <w:lang w:val="en-US" w:eastAsia="fr-FR"/>
        </w:rPr>
        <w:t xml:space="preserve">. </w:t>
      </w:r>
      <w:r w:rsidR="002F17A1" w:rsidRPr="00D806D9">
        <w:rPr>
          <w:rFonts w:asciiTheme="majorBidi" w:eastAsia="Times New Roman" w:hAnsiTheme="majorBidi" w:cstheme="majorBidi"/>
          <w:lang w:val="en-US" w:eastAsia="fr-FR"/>
        </w:rPr>
        <w:t xml:space="preserve">Even though no official regulation is available yet, some documentation from the IF </w:t>
      </w:r>
      <w:r w:rsidR="00D164B1" w:rsidRPr="00D806D9">
        <w:rPr>
          <w:rFonts w:asciiTheme="majorBidi" w:eastAsia="Times New Roman" w:hAnsiTheme="majorBidi" w:cstheme="majorBidi"/>
          <w:lang w:val="en-US" w:eastAsia="fr-FR"/>
        </w:rPr>
        <w:t xml:space="preserve">tends to show that this will be put in motion as it “will become more focused […] [on] innovative electrification and hydrogen applications in industry.” (EC, 2022e, p.7) </w:t>
      </w:r>
      <w:r w:rsidR="00875B6F">
        <w:rPr>
          <w:rFonts w:asciiTheme="majorBidi" w:eastAsia="Times New Roman" w:hAnsiTheme="majorBidi" w:cstheme="majorBidi"/>
          <w:lang w:val="en-US" w:eastAsia="fr-FR"/>
        </w:rPr>
        <w:t>The competitive</w:t>
      </w:r>
      <w:r w:rsidR="002E2C46" w:rsidRPr="00D806D9">
        <w:rPr>
          <w:rFonts w:asciiTheme="majorBidi" w:eastAsia="Times New Roman" w:hAnsiTheme="majorBidi" w:cstheme="majorBidi"/>
          <w:lang w:val="en-US" w:eastAsia="fr-FR"/>
        </w:rPr>
        <w:t xml:space="preserve"> process</w:t>
      </w:r>
      <w:r w:rsidRPr="00D806D9">
        <w:rPr>
          <w:rFonts w:asciiTheme="majorBidi" w:eastAsia="Times New Roman" w:hAnsiTheme="majorBidi" w:cstheme="majorBidi"/>
          <w:lang w:val="en-US" w:eastAsia="fr-FR"/>
        </w:rPr>
        <w:t xml:space="preserve"> should be </w:t>
      </w:r>
      <w:r w:rsidR="001B1C3A" w:rsidRPr="00D806D9">
        <w:rPr>
          <w:rFonts w:asciiTheme="majorBidi" w:eastAsia="Times New Roman" w:hAnsiTheme="majorBidi" w:cstheme="majorBidi"/>
          <w:lang w:val="en-US" w:eastAsia="fr-FR"/>
        </w:rPr>
        <w:t xml:space="preserve">organized both throughout sectors and </w:t>
      </w:r>
      <w:r w:rsidRPr="00D806D9">
        <w:rPr>
          <w:rFonts w:asciiTheme="majorBidi" w:eastAsia="Times New Roman" w:hAnsiTheme="majorBidi" w:cstheme="majorBidi"/>
          <w:lang w:val="en-US" w:eastAsia="fr-FR"/>
        </w:rPr>
        <w:t xml:space="preserve">“the circular economy (e.g., having primary steel decarbonization options compete with </w:t>
      </w:r>
      <w:r w:rsidRPr="00D806D9">
        <w:rPr>
          <w:rFonts w:asciiTheme="majorBidi" w:eastAsia="Times New Roman" w:hAnsiTheme="majorBidi" w:cstheme="majorBidi"/>
          <w:color w:val="auto"/>
          <w:lang w:val="en-US" w:eastAsia="fr-FR"/>
        </w:rPr>
        <w:t>secondary steel), taking therefore into account the resource intensity criterion” (CFMP, 2020, p.6).</w:t>
      </w:r>
      <w:r w:rsidR="00FE74E8" w:rsidRPr="00D806D9">
        <w:rPr>
          <w:rFonts w:asciiTheme="majorBidi" w:eastAsia="Times New Roman" w:hAnsiTheme="majorBidi" w:cstheme="majorBidi"/>
          <w:color w:val="auto"/>
          <w:lang w:val="en-US" w:eastAsia="fr-FR"/>
        </w:rPr>
        <w:t xml:space="preserve"> Again, if a </w:t>
      </w:r>
      <w:r w:rsidR="00FE74E8" w:rsidRPr="00D806D9">
        <w:rPr>
          <w:rFonts w:asciiTheme="majorBidi" w:eastAsia="Times New Roman" w:hAnsiTheme="majorBidi" w:cstheme="majorBidi"/>
          <w:color w:val="auto"/>
          <w:lang w:val="en-US" w:eastAsia="fr-FR"/>
        </w:rPr>
        <w:lastRenderedPageBreak/>
        <w:t xml:space="preserve">tradeoff </w:t>
      </w:r>
      <w:r w:rsidR="00875B6F">
        <w:rPr>
          <w:rFonts w:asciiTheme="majorBidi" w:eastAsia="Times New Roman" w:hAnsiTheme="majorBidi" w:cstheme="majorBidi"/>
          <w:color w:val="auto"/>
          <w:lang w:val="en-US" w:eastAsia="fr-FR"/>
        </w:rPr>
        <w:t>exists</w:t>
      </w:r>
      <w:r w:rsidR="00FE74E8" w:rsidRPr="00D806D9">
        <w:rPr>
          <w:rFonts w:asciiTheme="majorBidi" w:eastAsia="Times New Roman" w:hAnsiTheme="majorBidi" w:cstheme="majorBidi"/>
          <w:color w:val="auto"/>
          <w:lang w:val="en-US" w:eastAsia="fr-FR"/>
        </w:rPr>
        <w:t xml:space="preserve"> in public innovation support between selection and efficiency, CCfD as presented is an i</w:t>
      </w:r>
      <w:r w:rsidRPr="00D806D9">
        <w:rPr>
          <w:rFonts w:asciiTheme="majorBidi" w:eastAsia="Times New Roman" w:hAnsiTheme="majorBidi" w:cstheme="majorBidi"/>
          <w:color w:val="auto"/>
          <w:lang w:val="en-US" w:eastAsia="fr-FR"/>
        </w:rPr>
        <w:t>nstrument aim</w:t>
      </w:r>
      <w:r w:rsidR="00FE74E8" w:rsidRPr="00D806D9">
        <w:rPr>
          <w:rFonts w:asciiTheme="majorBidi" w:eastAsia="Times New Roman" w:hAnsiTheme="majorBidi" w:cstheme="majorBidi"/>
          <w:color w:val="auto"/>
          <w:lang w:val="en-US" w:eastAsia="fr-FR"/>
        </w:rPr>
        <w:t>ing</w:t>
      </w:r>
      <w:r w:rsidRPr="00D806D9">
        <w:rPr>
          <w:rFonts w:asciiTheme="majorBidi" w:eastAsia="Times New Roman" w:hAnsiTheme="majorBidi" w:cstheme="majorBidi"/>
          <w:color w:val="auto"/>
          <w:lang w:val="en-US" w:eastAsia="fr-FR"/>
        </w:rPr>
        <w:t xml:space="preserve"> at supporting </w:t>
      </w:r>
      <w:r w:rsidRPr="00D806D9">
        <w:rPr>
          <w:rFonts w:asciiTheme="majorBidi" w:eastAsia="Times New Roman" w:hAnsiTheme="majorBidi" w:cstheme="majorBidi"/>
          <w:lang w:val="en-US" w:eastAsia="fr-FR"/>
        </w:rPr>
        <w:t xml:space="preserve">different technologies at different stages along the learning curve </w:t>
      </w:r>
      <w:r w:rsidR="00FE74E8" w:rsidRPr="00D806D9">
        <w:rPr>
          <w:rFonts w:asciiTheme="majorBidi" w:eastAsia="Times New Roman" w:hAnsiTheme="majorBidi" w:cstheme="majorBidi"/>
          <w:lang w:val="en-US" w:eastAsia="fr-FR"/>
        </w:rPr>
        <w:t>would</w:t>
      </w:r>
      <w:r w:rsidRPr="00D806D9">
        <w:rPr>
          <w:rFonts w:asciiTheme="majorBidi" w:eastAsia="Times New Roman" w:hAnsiTheme="majorBidi" w:cstheme="majorBidi"/>
          <w:lang w:val="en-US" w:eastAsia="fr-FR"/>
        </w:rPr>
        <w:t xml:space="preserve"> contradict the technological neutrality principle</w:t>
      </w:r>
      <w:r w:rsidR="00FE74E8" w:rsidRPr="00D806D9">
        <w:rPr>
          <w:rFonts w:asciiTheme="majorBidi" w:eastAsia="Times New Roman" w:hAnsiTheme="majorBidi" w:cstheme="majorBidi"/>
          <w:lang w:val="en-US" w:eastAsia="fr-FR"/>
        </w:rPr>
        <w:t xml:space="preserve">. Indeed, </w:t>
      </w:r>
      <w:r w:rsidR="00077653" w:rsidRPr="00D806D9">
        <w:rPr>
          <w:rFonts w:asciiTheme="majorBidi" w:eastAsia="Times New Roman" w:hAnsiTheme="majorBidi" w:cstheme="majorBidi"/>
          <w:lang w:val="en-US" w:eastAsia="fr-FR"/>
        </w:rPr>
        <w:t>type I and type II errors would undoubtedly happen: orienting</w:t>
      </w:r>
      <w:r w:rsidRPr="00D806D9">
        <w:rPr>
          <w:rFonts w:asciiTheme="majorBidi" w:eastAsia="Times New Roman" w:hAnsiTheme="majorBidi" w:cstheme="majorBidi"/>
          <w:lang w:val="en-US" w:eastAsia="fr-FR"/>
        </w:rPr>
        <w:t xml:space="preserve"> the market toward particular solutions through public support policies </w:t>
      </w:r>
      <w:r w:rsidR="00875B6F">
        <w:rPr>
          <w:rFonts w:asciiTheme="majorBidi" w:eastAsia="Times New Roman" w:hAnsiTheme="majorBidi" w:cstheme="majorBidi"/>
          <w:lang w:val="en-US" w:eastAsia="fr-FR"/>
        </w:rPr>
        <w:t>to</w:t>
      </w:r>
      <w:r w:rsidRPr="00D806D9">
        <w:rPr>
          <w:rFonts w:asciiTheme="majorBidi" w:eastAsia="Times New Roman" w:hAnsiTheme="majorBidi" w:cstheme="majorBidi"/>
          <w:lang w:val="en-US" w:eastAsia="fr-FR"/>
        </w:rPr>
        <w:t xml:space="preserve"> the detriment of potentially more efficient ones</w:t>
      </w:r>
      <w:r w:rsidR="004410CE" w:rsidRPr="00D806D9">
        <w:rPr>
          <w:rFonts w:asciiTheme="majorBidi" w:eastAsia="Times New Roman" w:hAnsiTheme="majorBidi" w:cstheme="majorBidi"/>
          <w:lang w:val="en-US" w:eastAsia="fr-FR"/>
        </w:rPr>
        <w:t>.</w:t>
      </w:r>
    </w:p>
    <w:p w14:paraId="37A5C00D" w14:textId="77777777" w:rsidR="00033CF9" w:rsidRPr="00D806D9" w:rsidRDefault="00033CF9" w:rsidP="00D806D9">
      <w:pPr>
        <w:spacing w:after="0" w:line="480" w:lineRule="auto"/>
        <w:jc w:val="both"/>
        <w:rPr>
          <w:rFonts w:asciiTheme="majorBidi" w:eastAsia="Times New Roman" w:hAnsiTheme="majorBidi" w:cstheme="majorBidi"/>
          <w:color w:val="000000"/>
          <w:sz w:val="24"/>
          <w:szCs w:val="24"/>
          <w:lang w:val="en-US" w:eastAsia="fr-FR" w:bidi="he-IL"/>
        </w:rPr>
      </w:pPr>
    </w:p>
    <w:p w14:paraId="6CC5721C" w14:textId="77777777" w:rsidR="00033CF9" w:rsidRPr="00D806D9" w:rsidRDefault="00033CF9" w:rsidP="00D806D9">
      <w:pPr>
        <w:spacing w:after="0" w:line="480" w:lineRule="auto"/>
        <w:ind w:left="1418" w:hanging="710"/>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t>4.4.</w:t>
      </w:r>
      <w:r w:rsidRPr="00D806D9">
        <w:rPr>
          <w:rFonts w:asciiTheme="majorBidi" w:hAnsiTheme="majorBidi" w:cstheme="majorBidi"/>
          <w:b/>
          <w:bCs/>
          <w:sz w:val="24"/>
          <w:szCs w:val="24"/>
          <w:lang w:val="en-US"/>
        </w:rPr>
        <w:tab/>
        <w:t>Anticompetitive effects</w:t>
      </w:r>
    </w:p>
    <w:p w14:paraId="6DB78FA2" w14:textId="77777777" w:rsidR="00033CF9" w:rsidRPr="00D806D9" w:rsidRDefault="00033CF9" w:rsidP="00D806D9">
      <w:pPr>
        <w:spacing w:after="0" w:line="480" w:lineRule="auto"/>
        <w:jc w:val="both"/>
        <w:rPr>
          <w:rFonts w:asciiTheme="majorBidi" w:eastAsia="Times New Roman" w:hAnsiTheme="majorBidi" w:cstheme="majorBidi"/>
          <w:lang w:val="en-US" w:eastAsia="fr-FR"/>
        </w:rPr>
      </w:pPr>
    </w:p>
    <w:p w14:paraId="360E369C" w14:textId="01AB0039" w:rsidR="00033CF9" w:rsidRPr="00D806D9" w:rsidRDefault="00033CF9" w:rsidP="00D806D9">
      <w:pPr>
        <w:spacing w:after="0" w:line="480" w:lineRule="auto"/>
        <w:jc w:val="both"/>
        <w:rPr>
          <w:rFonts w:asciiTheme="majorBidi" w:eastAsia="Times New Roman" w:hAnsiTheme="majorBidi" w:cstheme="majorBidi"/>
          <w:color w:val="000000"/>
          <w:sz w:val="24"/>
          <w:szCs w:val="24"/>
          <w:lang w:val="en-US" w:eastAsia="fr-FR" w:bidi="he-IL"/>
        </w:rPr>
      </w:pPr>
      <w:r w:rsidRPr="00D806D9">
        <w:rPr>
          <w:rFonts w:asciiTheme="majorBidi" w:hAnsiTheme="majorBidi" w:cstheme="majorBidi"/>
          <w:color w:val="000000"/>
          <w:sz w:val="24"/>
          <w:szCs w:val="24"/>
          <w:lang w:val="en-US" w:bidi="he-IL"/>
        </w:rPr>
        <w:tab/>
        <w:t xml:space="preserve">Each of the three phenomena described above </w:t>
      </w:r>
      <w:r w:rsidR="00875B6F">
        <w:rPr>
          <w:rFonts w:asciiTheme="majorBidi" w:hAnsiTheme="majorBidi" w:cstheme="majorBidi"/>
          <w:color w:val="000000"/>
          <w:sz w:val="24"/>
          <w:szCs w:val="24"/>
          <w:lang w:val="en-US" w:bidi="he-IL"/>
        </w:rPr>
        <w:t>bears</w:t>
      </w:r>
      <w:r w:rsidRPr="00D806D9">
        <w:rPr>
          <w:rFonts w:asciiTheme="majorBidi" w:hAnsiTheme="majorBidi" w:cstheme="majorBidi"/>
          <w:color w:val="000000"/>
          <w:sz w:val="24"/>
          <w:szCs w:val="24"/>
          <w:lang w:val="en-US" w:bidi="he-IL"/>
        </w:rPr>
        <w:t xml:space="preserve"> competition distortion effects</w:t>
      </w:r>
      <w:r w:rsidR="005D3995">
        <w:rPr>
          <w:rFonts w:asciiTheme="majorBidi" w:hAnsiTheme="majorBidi" w:cstheme="majorBidi"/>
          <w:color w:val="000000"/>
          <w:sz w:val="24"/>
          <w:szCs w:val="24"/>
          <w:lang w:val="en-US" w:bidi="he-IL"/>
        </w:rPr>
        <w:t>,</w:t>
      </w:r>
      <w:r w:rsidRPr="00D806D9">
        <w:rPr>
          <w:rFonts w:asciiTheme="majorBidi" w:hAnsiTheme="majorBidi" w:cstheme="majorBidi"/>
          <w:color w:val="000000"/>
          <w:sz w:val="24"/>
          <w:szCs w:val="24"/>
          <w:lang w:val="en-US" w:bidi="he-IL"/>
        </w:rPr>
        <w:t xml:space="preserve"> offering possibilities for the operators to exert market power in the competit</w:t>
      </w:r>
      <w:r w:rsidRPr="00D806D9">
        <w:rPr>
          <w:rFonts w:asciiTheme="majorBidi" w:hAnsiTheme="majorBidi" w:cstheme="majorBidi"/>
          <w:sz w:val="24"/>
          <w:szCs w:val="24"/>
          <w:lang w:val="en-US" w:bidi="he-IL"/>
        </w:rPr>
        <w:t>ive process.</w:t>
      </w:r>
      <w:r w:rsidRPr="00D806D9">
        <w:rPr>
          <w:rFonts w:asciiTheme="majorBidi" w:hAnsiTheme="majorBidi" w:cstheme="majorBidi"/>
          <w:color w:val="000000"/>
          <w:sz w:val="24"/>
          <w:szCs w:val="24"/>
          <w:lang w:val="en-US" w:bidi="he-IL"/>
        </w:rPr>
        <w:t xml:space="preserve"> This </w:t>
      </w:r>
      <w:r w:rsidR="005D3995">
        <w:rPr>
          <w:rFonts w:asciiTheme="majorBidi" w:hAnsiTheme="majorBidi" w:cstheme="majorBidi"/>
          <w:color w:val="000000"/>
          <w:sz w:val="24"/>
          <w:szCs w:val="24"/>
          <w:lang w:val="en-US" w:bidi="he-IL"/>
        </w:rPr>
        <w:t>w</w:t>
      </w:r>
      <w:r w:rsidRPr="00D806D9">
        <w:rPr>
          <w:rFonts w:asciiTheme="majorBidi" w:hAnsiTheme="majorBidi" w:cstheme="majorBidi"/>
          <w:color w:val="000000"/>
          <w:sz w:val="24"/>
          <w:szCs w:val="24"/>
          <w:lang w:val="en-US" w:bidi="he-IL"/>
        </w:rPr>
        <w:t xml:space="preserve">ould allow the awarded parties to extract rents from it. Further, these distortions potentiate one another and reinforce others. First, CCfD could have anticompetitive effects by themselves. As </w:t>
      </w:r>
      <w:r w:rsidR="00875B6F">
        <w:rPr>
          <w:rFonts w:asciiTheme="majorBidi" w:hAnsiTheme="majorBidi" w:cstheme="majorBidi"/>
          <w:color w:val="000000"/>
          <w:sz w:val="24"/>
          <w:szCs w:val="24"/>
          <w:lang w:val="en-US" w:bidi="he-IL"/>
        </w:rPr>
        <w:t xml:space="preserve">a </w:t>
      </w:r>
      <w:r w:rsidRPr="00D806D9">
        <w:rPr>
          <w:rFonts w:asciiTheme="majorBidi" w:hAnsiTheme="majorBidi" w:cstheme="majorBidi"/>
          <w:color w:val="000000"/>
          <w:sz w:val="24"/>
          <w:szCs w:val="24"/>
          <w:lang w:val="en-US" w:bidi="he-IL"/>
        </w:rPr>
        <w:t xml:space="preserve">subsidy, it could create </w:t>
      </w:r>
      <w:r w:rsidR="00875B6F">
        <w:rPr>
          <w:rFonts w:asciiTheme="majorBidi" w:hAnsiTheme="majorBidi" w:cstheme="majorBidi"/>
          <w:color w:val="000000"/>
          <w:sz w:val="24"/>
          <w:szCs w:val="24"/>
          <w:lang w:val="en-US" w:bidi="he-IL"/>
        </w:rPr>
        <w:t xml:space="preserve">a </w:t>
      </w:r>
      <w:r w:rsidRPr="00D806D9">
        <w:rPr>
          <w:rFonts w:asciiTheme="majorBidi" w:hAnsiTheme="majorBidi" w:cstheme="majorBidi"/>
          <w:color w:val="000000"/>
          <w:sz w:val="24"/>
          <w:szCs w:val="24"/>
          <w:lang w:val="en-US" w:bidi="he-IL"/>
        </w:rPr>
        <w:t xml:space="preserve">barrier to entry for </w:t>
      </w:r>
      <w:r w:rsidR="00875B6F">
        <w:rPr>
          <w:rFonts w:asciiTheme="majorBidi" w:hAnsiTheme="majorBidi" w:cstheme="majorBidi"/>
          <w:color w:val="000000"/>
          <w:sz w:val="24"/>
          <w:szCs w:val="24"/>
          <w:lang w:val="en-US" w:bidi="he-IL"/>
        </w:rPr>
        <w:t>newcomers</w:t>
      </w:r>
      <w:r w:rsidRPr="00D806D9">
        <w:rPr>
          <w:rFonts w:asciiTheme="majorBidi" w:hAnsiTheme="majorBidi" w:cstheme="majorBidi"/>
          <w:color w:val="000000"/>
          <w:sz w:val="24"/>
          <w:szCs w:val="24"/>
          <w:lang w:val="en-US" w:bidi="he-IL"/>
        </w:rPr>
        <w:t xml:space="preserve">, CCfD representing an additional administrative requirement </w:t>
      </w:r>
      <w:r w:rsidR="00875B6F">
        <w:rPr>
          <w:rFonts w:asciiTheme="majorBidi" w:hAnsiTheme="majorBidi" w:cstheme="majorBidi"/>
          <w:color w:val="000000"/>
          <w:sz w:val="24"/>
          <w:szCs w:val="24"/>
          <w:lang w:val="en-US" w:bidi="he-IL"/>
        </w:rPr>
        <w:t>that</w:t>
      </w:r>
      <w:r w:rsidRPr="00D806D9">
        <w:rPr>
          <w:rFonts w:asciiTheme="majorBidi" w:hAnsiTheme="majorBidi" w:cstheme="majorBidi"/>
          <w:color w:val="000000"/>
          <w:sz w:val="24"/>
          <w:szCs w:val="24"/>
          <w:lang w:val="en-US" w:bidi="he-IL"/>
        </w:rPr>
        <w:t xml:space="preserve"> would f</w:t>
      </w:r>
      <w:r w:rsidR="00875B6F">
        <w:rPr>
          <w:rFonts w:asciiTheme="majorBidi" w:hAnsiTheme="majorBidi" w:cstheme="majorBidi"/>
          <w:color w:val="000000"/>
          <w:sz w:val="24"/>
          <w:szCs w:val="24"/>
          <w:lang w:val="en-US" w:bidi="he-IL"/>
        </w:rPr>
        <w:t xml:space="preserve">avor </w:t>
      </w:r>
      <w:r w:rsidRPr="00D806D9">
        <w:rPr>
          <w:rFonts w:asciiTheme="majorBidi" w:hAnsiTheme="majorBidi" w:cstheme="majorBidi"/>
          <w:color w:val="000000"/>
          <w:sz w:val="24"/>
          <w:szCs w:val="24"/>
          <w:lang w:val="en-US" w:bidi="he-IL"/>
        </w:rPr>
        <w:t>incumbents and big players</w:t>
      </w:r>
      <w:r w:rsidR="0085303C" w:rsidRPr="00D806D9">
        <w:rPr>
          <w:rFonts w:asciiTheme="majorBidi" w:hAnsiTheme="majorBidi" w:cstheme="majorBidi"/>
          <w:color w:val="000000"/>
          <w:sz w:val="24"/>
          <w:szCs w:val="24"/>
          <w:lang w:val="en-US" w:bidi="he-IL"/>
        </w:rPr>
        <w:t xml:space="preserve"> on top of being a financial support</w:t>
      </w:r>
      <w:r w:rsidRPr="00D806D9">
        <w:rPr>
          <w:rFonts w:asciiTheme="majorBidi" w:hAnsiTheme="majorBidi" w:cstheme="majorBidi"/>
          <w:color w:val="000000"/>
          <w:sz w:val="24"/>
          <w:szCs w:val="24"/>
          <w:lang w:val="en-US" w:bidi="he-IL"/>
        </w:rPr>
        <w:t>. If competitive processes try eas</w:t>
      </w:r>
      <w:r w:rsidR="009B0ACD">
        <w:rPr>
          <w:rFonts w:asciiTheme="majorBidi" w:hAnsiTheme="majorBidi" w:cstheme="majorBidi"/>
          <w:color w:val="000000"/>
          <w:sz w:val="24"/>
          <w:szCs w:val="24"/>
          <w:lang w:val="en-US" w:bidi="he-IL"/>
        </w:rPr>
        <w:t>ing</w:t>
      </w:r>
      <w:r w:rsidRPr="00D806D9">
        <w:rPr>
          <w:rFonts w:asciiTheme="majorBidi" w:hAnsiTheme="majorBidi" w:cstheme="majorBidi"/>
          <w:color w:val="000000"/>
          <w:sz w:val="24"/>
          <w:szCs w:val="24"/>
          <w:lang w:val="en-US" w:bidi="he-IL"/>
        </w:rPr>
        <w:t xml:space="preserve"> this effect, </w:t>
      </w:r>
      <w:r w:rsidR="00C26BE4">
        <w:rPr>
          <w:rFonts w:asciiTheme="majorBidi" w:hAnsiTheme="majorBidi" w:cstheme="majorBidi"/>
          <w:color w:val="000000"/>
          <w:sz w:val="24"/>
          <w:szCs w:val="24"/>
          <w:lang w:val="en-US" w:bidi="he-IL"/>
        </w:rPr>
        <w:t>there</w:t>
      </w:r>
      <w:r w:rsidRPr="00D806D9">
        <w:rPr>
          <w:rFonts w:asciiTheme="majorBidi" w:hAnsiTheme="majorBidi" w:cstheme="majorBidi"/>
          <w:color w:val="000000"/>
          <w:sz w:val="24"/>
          <w:szCs w:val="24"/>
          <w:lang w:val="en-US" w:bidi="he-IL"/>
        </w:rPr>
        <w:t xml:space="preserve"> is an inevitable risk of administratively selecting operators through tenders. Given that the EUA price has a more significant impact on large projects’ investment </w:t>
      </w:r>
      <w:r w:rsidR="00875B6F">
        <w:rPr>
          <w:rFonts w:asciiTheme="majorBidi" w:hAnsiTheme="majorBidi" w:cstheme="majorBidi"/>
          <w:color w:val="000000"/>
          <w:sz w:val="24"/>
          <w:szCs w:val="24"/>
          <w:lang w:val="en-US" w:bidi="he-IL"/>
        </w:rPr>
        <w:t>decisions</w:t>
      </w:r>
      <w:r w:rsidRPr="00D806D9">
        <w:rPr>
          <w:rFonts w:asciiTheme="majorBidi" w:hAnsiTheme="majorBidi" w:cstheme="majorBidi"/>
          <w:color w:val="000000"/>
          <w:sz w:val="24"/>
          <w:szCs w:val="24"/>
          <w:lang w:val="en-US" w:bidi="he-IL"/>
        </w:rPr>
        <w:t xml:space="preserve">, as the ones that would be required to scale-up LCH, </w:t>
      </w:r>
      <w:r w:rsidR="00875B6F">
        <w:rPr>
          <w:rFonts w:asciiTheme="majorBidi" w:hAnsiTheme="majorBidi" w:cstheme="majorBidi"/>
          <w:color w:val="000000"/>
          <w:sz w:val="24"/>
          <w:szCs w:val="24"/>
          <w:lang w:val="en-US" w:bidi="he-IL"/>
        </w:rPr>
        <w:t xml:space="preserve">the </w:t>
      </w:r>
      <w:r w:rsidRPr="00D806D9">
        <w:rPr>
          <w:rFonts w:asciiTheme="majorBidi" w:hAnsiTheme="majorBidi" w:cstheme="majorBidi"/>
          <w:color w:val="000000"/>
          <w:sz w:val="24"/>
          <w:szCs w:val="24"/>
          <w:lang w:val="en-US" w:bidi="he-IL"/>
        </w:rPr>
        <w:t>biggest</w:t>
      </w:r>
      <w:r w:rsidRPr="00D806D9">
        <w:rPr>
          <w:rFonts w:asciiTheme="majorBidi" w:eastAsia="Times New Roman" w:hAnsiTheme="majorBidi" w:cstheme="majorBidi"/>
          <w:color w:val="000000"/>
          <w:sz w:val="24"/>
          <w:szCs w:val="24"/>
          <w:lang w:val="en-US" w:eastAsia="fr-FR" w:bidi="he-IL"/>
        </w:rPr>
        <w:t xml:space="preserve"> operators would be favored by CCfD implementation compared to </w:t>
      </w:r>
      <w:r w:rsidR="00875B6F">
        <w:rPr>
          <w:rFonts w:asciiTheme="majorBidi" w:eastAsia="Times New Roman" w:hAnsiTheme="majorBidi" w:cstheme="majorBidi"/>
          <w:color w:val="000000"/>
          <w:sz w:val="24"/>
          <w:szCs w:val="24"/>
          <w:lang w:val="en-US" w:eastAsia="fr-FR" w:bidi="he-IL"/>
        </w:rPr>
        <w:t>newcomers</w:t>
      </w:r>
      <w:r w:rsidRPr="00D806D9">
        <w:rPr>
          <w:rFonts w:asciiTheme="majorBidi" w:eastAsia="Times New Roman" w:hAnsiTheme="majorBidi" w:cstheme="majorBidi"/>
          <w:color w:val="000000"/>
          <w:sz w:val="24"/>
          <w:szCs w:val="24"/>
          <w:lang w:val="en-US" w:eastAsia="fr-FR" w:bidi="he-IL"/>
        </w:rPr>
        <w:t xml:space="preserve"> and smaller ones (Sartor </w:t>
      </w:r>
      <w:r w:rsidRPr="00D806D9">
        <w:rPr>
          <w:rFonts w:asciiTheme="majorBidi" w:eastAsia="Times New Roman" w:hAnsiTheme="majorBidi" w:cstheme="majorBidi"/>
          <w:sz w:val="24"/>
          <w:szCs w:val="24"/>
          <w:lang w:val="en-US" w:eastAsia="fr-FR" w:bidi="he-IL"/>
        </w:rPr>
        <w:t>&amp; Bataille, 2019). As the structure of energy market</w:t>
      </w:r>
      <w:r w:rsidR="00875B6F">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 is oligopolistic and composed of operators of significant size due to the required large and long</w:t>
      </w:r>
      <w:r w:rsidR="00D46C10"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 xml:space="preserve">term investments, CCfD </w:t>
      </w:r>
      <w:r w:rsidRPr="00D806D9">
        <w:rPr>
          <w:rFonts w:asciiTheme="majorBidi" w:eastAsia="Times New Roman" w:hAnsiTheme="majorBidi" w:cstheme="majorBidi"/>
          <w:color w:val="000000"/>
          <w:sz w:val="24"/>
          <w:szCs w:val="24"/>
          <w:lang w:val="en-US" w:eastAsia="fr-FR" w:bidi="he-IL"/>
        </w:rPr>
        <w:t xml:space="preserve">would reward their ability to assume these risks, thus increasing the potential for both regulatory capture and market distortion. This could lead to locking in incumbents in contradiction with EU competition rules, further enhancing </w:t>
      </w:r>
      <w:r w:rsidR="00EB2229">
        <w:rPr>
          <w:rFonts w:asciiTheme="majorBidi" w:eastAsia="Times New Roman" w:hAnsiTheme="majorBidi" w:cstheme="majorBidi"/>
          <w:color w:val="000000"/>
          <w:sz w:val="24"/>
          <w:szCs w:val="24"/>
          <w:lang w:val="en-US" w:eastAsia="fr-FR" w:bidi="he-IL"/>
        </w:rPr>
        <w:t>well-identified</w:t>
      </w:r>
      <w:r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lastRenderedPageBreak/>
        <w:t xml:space="preserve">effects of environmental public regulations (Faure &amp; Partain, 2019, p.209). Besides, this could incentivize collusive behaviors through </w:t>
      </w:r>
      <w:r w:rsidR="00EB2229">
        <w:rPr>
          <w:rFonts w:asciiTheme="majorBidi" w:eastAsia="Times New Roman" w:hAnsiTheme="majorBidi" w:cstheme="majorBidi"/>
          <w:i/>
          <w:iCs/>
          <w:color w:val="000000"/>
          <w:sz w:val="24"/>
          <w:szCs w:val="24"/>
          <w:lang w:val="en-US" w:eastAsia="fr-FR" w:bidi="he-IL"/>
        </w:rPr>
        <w:t>ex-ante</w:t>
      </w:r>
      <w:r w:rsidRPr="00D806D9">
        <w:rPr>
          <w:rFonts w:asciiTheme="majorBidi" w:eastAsia="Times New Roman" w:hAnsiTheme="majorBidi" w:cstheme="majorBidi"/>
          <w:color w:val="000000"/>
          <w:sz w:val="24"/>
          <w:szCs w:val="24"/>
          <w:lang w:val="en-US" w:eastAsia="fr-FR" w:bidi="he-IL"/>
        </w:rPr>
        <w:t xml:space="preserve"> anticompetitive agreement over the strike price for instance. Second, payment</w:t>
      </w:r>
      <w:r w:rsidR="002B5983">
        <w:rPr>
          <w:rFonts w:asciiTheme="majorBidi" w:eastAsia="Times New Roman" w:hAnsiTheme="majorBidi" w:cstheme="majorBidi"/>
          <w:color w:val="000000"/>
          <w:sz w:val="24"/>
          <w:szCs w:val="24"/>
          <w:lang w:val="en-US" w:eastAsia="fr-FR" w:bidi="he-IL"/>
        </w:rPr>
        <w:t>s</w:t>
      </w:r>
      <w:r w:rsidRPr="00D806D9">
        <w:rPr>
          <w:rFonts w:asciiTheme="majorBidi" w:eastAsia="Times New Roman" w:hAnsiTheme="majorBidi" w:cstheme="majorBidi"/>
          <w:color w:val="000000"/>
          <w:sz w:val="24"/>
          <w:szCs w:val="24"/>
          <w:lang w:val="en-US" w:eastAsia="fr-FR" w:bidi="he-IL"/>
        </w:rPr>
        <w:t xml:space="preserve"> made under CCfD</w:t>
      </w:r>
      <w:r w:rsidR="002B5983">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which </w:t>
      </w:r>
      <w:r w:rsidR="00EB2229">
        <w:rPr>
          <w:rFonts w:asciiTheme="majorBidi" w:eastAsia="Times New Roman" w:hAnsiTheme="majorBidi" w:cstheme="majorBidi"/>
          <w:color w:val="000000"/>
          <w:sz w:val="24"/>
          <w:szCs w:val="24"/>
          <w:lang w:val="en-US" w:eastAsia="fr-FR" w:bidi="he-IL"/>
        </w:rPr>
        <w:t>operates</w:t>
      </w:r>
      <w:r w:rsidRPr="00D806D9">
        <w:rPr>
          <w:rFonts w:asciiTheme="majorBidi" w:eastAsia="Times New Roman" w:hAnsiTheme="majorBidi" w:cstheme="majorBidi"/>
          <w:color w:val="000000"/>
          <w:sz w:val="24"/>
          <w:szCs w:val="24"/>
          <w:lang w:val="en-US" w:eastAsia="fr-FR" w:bidi="he-IL"/>
        </w:rPr>
        <w:t xml:space="preserve"> as an indirect financial subsidy after the </w:t>
      </w:r>
      <w:r w:rsidR="00EB2229">
        <w:rPr>
          <w:rFonts w:asciiTheme="majorBidi" w:eastAsia="Times New Roman" w:hAnsiTheme="majorBidi" w:cstheme="majorBidi"/>
          <w:color w:val="000000"/>
          <w:sz w:val="24"/>
          <w:szCs w:val="24"/>
          <w:lang w:val="en-US" w:eastAsia="fr-FR" w:bidi="he-IL"/>
        </w:rPr>
        <w:t>contractually</w:t>
      </w:r>
      <w:r w:rsidRPr="00D806D9">
        <w:rPr>
          <w:rFonts w:asciiTheme="majorBidi" w:eastAsia="Times New Roman" w:hAnsiTheme="majorBidi" w:cstheme="majorBidi"/>
          <w:color w:val="000000"/>
          <w:sz w:val="24"/>
          <w:szCs w:val="24"/>
          <w:lang w:val="en-US" w:eastAsia="fr-FR" w:bidi="he-IL"/>
        </w:rPr>
        <w:t xml:space="preserve"> determined period expires</w:t>
      </w:r>
      <w:r w:rsidR="002B5983">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would also hav</w:t>
      </w:r>
      <w:r w:rsidR="00EB2229">
        <w:rPr>
          <w:rFonts w:asciiTheme="majorBidi" w:eastAsia="Times New Roman" w:hAnsiTheme="majorBidi" w:cstheme="majorBidi"/>
          <w:color w:val="000000"/>
          <w:sz w:val="24"/>
          <w:szCs w:val="24"/>
          <w:lang w:val="en-US" w:eastAsia="fr-FR" w:bidi="he-IL"/>
        </w:rPr>
        <w:t>e a</w:t>
      </w:r>
      <w:r w:rsidRPr="00D806D9">
        <w:rPr>
          <w:rFonts w:asciiTheme="majorBidi" w:eastAsia="Times New Roman" w:hAnsiTheme="majorBidi" w:cstheme="majorBidi"/>
          <w:color w:val="000000"/>
          <w:sz w:val="24"/>
          <w:szCs w:val="24"/>
          <w:lang w:val="en-US" w:eastAsia="fr-FR" w:bidi="he-IL"/>
        </w:rPr>
        <w:t xml:space="preserve"> distortion effect </w:t>
      </w:r>
      <w:r w:rsidR="00EA2FDB">
        <w:rPr>
          <w:rFonts w:asciiTheme="majorBidi" w:eastAsia="Times New Roman" w:hAnsiTheme="majorBidi" w:cstheme="majorBidi"/>
          <w:color w:val="000000"/>
          <w:sz w:val="24"/>
          <w:szCs w:val="24"/>
          <w:lang w:val="en-US" w:eastAsia="fr-FR" w:bidi="he-IL"/>
        </w:rPr>
        <w:t>regarding</w:t>
      </w:r>
      <w:r w:rsidR="00EB222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t>competitors. Third, CCfD</w:t>
      </w:r>
      <w:r w:rsidRPr="00D806D9">
        <w:rPr>
          <w:rFonts w:asciiTheme="majorBidi" w:eastAsia="Times New Roman" w:hAnsiTheme="majorBidi" w:cstheme="majorBidi"/>
          <w:sz w:val="24"/>
          <w:szCs w:val="24"/>
          <w:lang w:val="en-US" w:eastAsia="fr-FR" w:bidi="he-IL"/>
        </w:rPr>
        <w:t xml:space="preserve"> would imply </w:t>
      </w:r>
      <w:r w:rsidR="00A56156" w:rsidRPr="00D806D9">
        <w:rPr>
          <w:rFonts w:asciiTheme="majorBidi" w:eastAsia="Times New Roman" w:hAnsiTheme="majorBidi" w:cstheme="majorBidi"/>
          <w:sz w:val="24"/>
          <w:szCs w:val="24"/>
          <w:lang w:val="en-US" w:eastAsia="fr-FR" w:bidi="he-IL"/>
        </w:rPr>
        <w:t xml:space="preserve">reinforced </w:t>
      </w:r>
      <w:r w:rsidRPr="00D806D9">
        <w:rPr>
          <w:rFonts w:asciiTheme="majorBidi" w:eastAsia="Times New Roman" w:hAnsiTheme="majorBidi" w:cstheme="majorBidi"/>
          <w:sz w:val="24"/>
          <w:szCs w:val="24"/>
          <w:lang w:val="en-US" w:eastAsia="fr-FR" w:bidi="he-IL"/>
        </w:rPr>
        <w:t>distributional effect</w:t>
      </w:r>
      <w:r w:rsidR="00A56156" w:rsidRPr="00D806D9">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 within the EU. As covering for </w:t>
      </w:r>
      <w:r w:rsidR="00A56156" w:rsidRPr="00D806D9">
        <w:rPr>
          <w:rFonts w:asciiTheme="majorBidi" w:eastAsia="Times New Roman" w:hAnsiTheme="majorBidi" w:cstheme="majorBidi"/>
          <w:sz w:val="24"/>
          <w:szCs w:val="24"/>
          <w:lang w:val="en-US" w:eastAsia="fr-FR" w:bidi="he-IL"/>
        </w:rPr>
        <w:t xml:space="preserve">an </w:t>
      </w:r>
      <w:r w:rsidRPr="00D806D9">
        <w:rPr>
          <w:rFonts w:asciiTheme="majorBidi" w:eastAsia="Times New Roman" w:hAnsiTheme="majorBidi" w:cstheme="majorBidi"/>
          <w:sz w:val="24"/>
          <w:szCs w:val="24"/>
          <w:lang w:val="en-US" w:eastAsia="fr-FR" w:bidi="he-IL"/>
        </w:rPr>
        <w:t xml:space="preserve">increasing cost </w:t>
      </w:r>
      <w:r w:rsidR="00EB2229">
        <w:rPr>
          <w:rFonts w:asciiTheme="majorBidi" w:eastAsia="Times New Roman" w:hAnsiTheme="majorBidi" w:cstheme="majorBidi"/>
          <w:sz w:val="24"/>
          <w:szCs w:val="24"/>
          <w:lang w:val="en-US" w:eastAsia="fr-FR" w:bidi="he-IL"/>
        </w:rPr>
        <w:t>respective to</w:t>
      </w:r>
      <w:r w:rsidRPr="00D806D9">
        <w:rPr>
          <w:rFonts w:asciiTheme="majorBidi" w:eastAsia="Times New Roman" w:hAnsiTheme="majorBidi" w:cstheme="majorBidi"/>
          <w:sz w:val="24"/>
          <w:szCs w:val="24"/>
          <w:lang w:val="en-US" w:eastAsia="fr-FR" w:bidi="he-IL"/>
        </w:rPr>
        <w:t xml:space="preserve"> the project</w:t>
      </w:r>
      <w:r w:rsidR="00EB2229">
        <w:rPr>
          <w:rFonts w:asciiTheme="majorBidi" w:eastAsia="Times New Roman" w:hAnsiTheme="majorBidi" w:cstheme="majorBidi"/>
          <w:sz w:val="24"/>
          <w:szCs w:val="24"/>
          <w:lang w:val="en-US" w:eastAsia="fr-FR" w:bidi="he-IL"/>
        </w:rPr>
        <w:t>’s size</w:t>
      </w:r>
      <w:r w:rsidRPr="00D806D9">
        <w:rPr>
          <w:rFonts w:asciiTheme="majorBidi" w:eastAsia="Times New Roman" w:hAnsiTheme="majorBidi" w:cstheme="majorBidi"/>
          <w:sz w:val="24"/>
          <w:szCs w:val="24"/>
          <w:lang w:val="en-US" w:eastAsia="fr-FR" w:bidi="he-IL"/>
        </w:rPr>
        <w:t xml:space="preserve">, it </w:t>
      </w:r>
      <w:r w:rsidR="00D00EA7">
        <w:rPr>
          <w:rFonts w:asciiTheme="majorBidi" w:eastAsia="Times New Roman" w:hAnsiTheme="majorBidi" w:cstheme="majorBidi"/>
          <w:sz w:val="24"/>
          <w:szCs w:val="24"/>
          <w:lang w:val="en-US" w:eastAsia="fr-FR" w:bidi="he-IL"/>
        </w:rPr>
        <w:t>can</w:t>
      </w:r>
      <w:r w:rsidRPr="00D806D9">
        <w:rPr>
          <w:rFonts w:asciiTheme="majorBidi" w:eastAsia="Times New Roman" w:hAnsiTheme="majorBidi" w:cstheme="majorBidi"/>
          <w:sz w:val="24"/>
          <w:szCs w:val="24"/>
          <w:lang w:val="en-US" w:eastAsia="fr-FR" w:bidi="he-IL"/>
        </w:rPr>
        <w:t xml:space="preserve"> </w:t>
      </w:r>
      <w:r w:rsidR="00A56156" w:rsidRPr="00D806D9">
        <w:rPr>
          <w:rFonts w:asciiTheme="majorBidi" w:eastAsia="Times New Roman" w:hAnsiTheme="majorBidi" w:cstheme="majorBidi"/>
          <w:sz w:val="24"/>
          <w:szCs w:val="24"/>
          <w:lang w:val="en-US" w:eastAsia="fr-FR" w:bidi="he-IL"/>
        </w:rPr>
        <w:t>enhance</w:t>
      </w:r>
      <w:r w:rsidRPr="00D806D9">
        <w:rPr>
          <w:rFonts w:asciiTheme="majorBidi" w:eastAsia="Times New Roman" w:hAnsiTheme="majorBidi" w:cstheme="majorBidi"/>
          <w:sz w:val="24"/>
          <w:szCs w:val="24"/>
          <w:lang w:val="en-US" w:eastAsia="fr-FR" w:bidi="he-IL"/>
        </w:rPr>
        <w:t xml:space="preserve"> the </w:t>
      </w:r>
      <w:r w:rsidR="00A56156" w:rsidRPr="00D806D9">
        <w:rPr>
          <w:rFonts w:asciiTheme="majorBidi" w:eastAsia="Times New Roman" w:hAnsiTheme="majorBidi" w:cstheme="majorBidi"/>
          <w:color w:val="000000"/>
          <w:sz w:val="24"/>
          <w:szCs w:val="24"/>
          <w:lang w:val="en-US" w:eastAsia="fr-FR" w:bidi="he-IL"/>
        </w:rPr>
        <w:t xml:space="preserve">EU-ETS’ </w:t>
      </w:r>
      <w:r w:rsidR="00A56156" w:rsidRPr="00D806D9">
        <w:rPr>
          <w:rFonts w:asciiTheme="majorBidi" w:eastAsia="Times New Roman" w:hAnsiTheme="majorBidi" w:cstheme="majorBidi"/>
          <w:sz w:val="24"/>
          <w:szCs w:val="24"/>
          <w:lang w:val="en-US" w:eastAsia="fr-FR" w:bidi="he-IL"/>
        </w:rPr>
        <w:t xml:space="preserve">disproportionate </w:t>
      </w:r>
      <w:r w:rsidRPr="00D806D9">
        <w:rPr>
          <w:rFonts w:asciiTheme="majorBidi" w:eastAsia="Times New Roman" w:hAnsiTheme="majorBidi" w:cstheme="majorBidi"/>
          <w:sz w:val="24"/>
          <w:szCs w:val="24"/>
          <w:lang w:val="en-US" w:eastAsia="fr-FR" w:bidi="he-IL"/>
        </w:rPr>
        <w:t>effects</w:t>
      </w:r>
      <w:r w:rsidR="00A56156"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t>between and within countries</w:t>
      </w:r>
      <w:r w:rsidR="00A56156" w:rsidRPr="00D806D9">
        <w:rPr>
          <w:rFonts w:asciiTheme="majorBidi" w:eastAsia="Times New Roman" w:hAnsiTheme="majorBidi" w:cstheme="majorBidi"/>
          <w:color w:val="000000"/>
          <w:sz w:val="24"/>
          <w:szCs w:val="24"/>
          <w:lang w:val="en-US" w:eastAsia="fr-FR" w:bidi="he-IL"/>
        </w:rPr>
        <w:t xml:space="preserve">, particularly towards low-income countries under current </w:t>
      </w:r>
      <w:r w:rsidR="00D46C10" w:rsidRPr="00D806D9">
        <w:rPr>
          <w:rFonts w:asciiTheme="majorBidi" w:eastAsia="Times New Roman" w:hAnsiTheme="majorBidi" w:cstheme="majorBidi"/>
          <w:color w:val="000000"/>
          <w:sz w:val="24"/>
          <w:szCs w:val="24"/>
          <w:lang w:val="en-US" w:eastAsia="fr-FR" w:bidi="he-IL"/>
        </w:rPr>
        <w:t>p</w:t>
      </w:r>
      <w:r w:rsidR="00A56156" w:rsidRPr="00D806D9">
        <w:rPr>
          <w:rFonts w:asciiTheme="majorBidi" w:eastAsia="Times New Roman" w:hAnsiTheme="majorBidi" w:cstheme="majorBidi"/>
          <w:color w:val="000000"/>
          <w:sz w:val="24"/>
          <w:szCs w:val="24"/>
          <w:lang w:val="en-US" w:eastAsia="fr-FR" w:bidi="he-IL"/>
        </w:rPr>
        <w:t>hase 4 rules</w:t>
      </w:r>
      <w:r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hAnsiTheme="majorBidi" w:cstheme="majorBidi"/>
          <w:sz w:val="24"/>
          <w:szCs w:val="24"/>
          <w:lang w:val="en-US"/>
        </w:rPr>
        <w:t>Landis et al., 2021).</w:t>
      </w:r>
      <w:r w:rsidRPr="00D806D9">
        <w:rPr>
          <w:rFonts w:asciiTheme="majorBidi" w:eastAsia="Times New Roman" w:hAnsiTheme="majorBidi" w:cstheme="majorBidi"/>
          <w:color w:val="FF0000"/>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Fourth, cross-market anti-competitive effects would be possible due to the industrial transversality of LCH. Fifth, public authorities’ choice of the adequate level of implementation is always important in environmental</w:t>
      </w:r>
      <w:r w:rsidRPr="00D806D9">
        <w:rPr>
          <w:rFonts w:asciiTheme="majorBidi" w:eastAsia="Times New Roman" w:hAnsiTheme="majorBidi" w:cstheme="majorBidi"/>
          <w:color w:val="000000"/>
          <w:sz w:val="24"/>
          <w:szCs w:val="24"/>
          <w:lang w:val="en-US" w:eastAsia="fr-FR" w:bidi="he-IL"/>
        </w:rPr>
        <w:t xml:space="preserve"> policies</w:t>
      </w:r>
      <w:r w:rsidR="00EB222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particularly as</w:t>
      </w:r>
      <w:r w:rsidR="00EB2229">
        <w:rPr>
          <w:rFonts w:asciiTheme="majorBidi" w:eastAsia="Times New Roman" w:hAnsiTheme="majorBidi" w:cstheme="majorBidi"/>
          <w:color w:val="000000"/>
          <w:sz w:val="24"/>
          <w:szCs w:val="24"/>
          <w:lang w:val="en-US" w:eastAsia="fr-FR" w:bidi="he-IL"/>
        </w:rPr>
        <w:t xml:space="preserve"> a</w:t>
      </w:r>
      <w:r w:rsidRPr="00D806D9">
        <w:rPr>
          <w:rFonts w:asciiTheme="majorBidi" w:eastAsia="Times New Roman" w:hAnsiTheme="majorBidi" w:cstheme="majorBidi"/>
          <w:color w:val="000000"/>
          <w:sz w:val="24"/>
          <w:szCs w:val="24"/>
          <w:lang w:val="en-US" w:eastAsia="fr-FR" w:bidi="he-IL"/>
        </w:rPr>
        <w:t xml:space="preserve"> lack of coordination between MS could generate distortions and costs similar to the ones seen during EU-ETS phases 1 and 2.</w:t>
      </w:r>
    </w:p>
    <w:p w14:paraId="5A51C2C8" w14:textId="77777777" w:rsidR="00033CF9" w:rsidRPr="00D806D9" w:rsidRDefault="00033CF9" w:rsidP="00D806D9">
      <w:pPr>
        <w:spacing w:after="0" w:line="480" w:lineRule="auto"/>
        <w:jc w:val="both"/>
        <w:rPr>
          <w:rFonts w:asciiTheme="majorBidi" w:eastAsia="Times New Roman" w:hAnsiTheme="majorBidi" w:cstheme="majorBidi"/>
          <w:sz w:val="24"/>
          <w:szCs w:val="24"/>
          <w:lang w:val="en-US" w:eastAsia="fr-FR"/>
        </w:rPr>
      </w:pPr>
    </w:p>
    <w:p w14:paraId="0DAA50C5" w14:textId="66AFA625" w:rsidR="00033CF9" w:rsidRPr="00D806D9" w:rsidRDefault="00033CF9" w:rsidP="00D806D9">
      <w:pPr>
        <w:spacing w:after="0" w:line="480" w:lineRule="auto"/>
        <w:ind w:left="1418" w:hanging="710"/>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t>4.5.</w:t>
      </w:r>
      <w:r w:rsidRPr="00D806D9">
        <w:rPr>
          <w:rFonts w:asciiTheme="majorBidi" w:hAnsiTheme="majorBidi" w:cstheme="majorBidi"/>
          <w:b/>
          <w:bCs/>
          <w:sz w:val="24"/>
          <w:szCs w:val="24"/>
          <w:lang w:val="en-US"/>
        </w:rPr>
        <w:tab/>
        <w:t xml:space="preserve">Correctly Pricing the Carbon to </w:t>
      </w:r>
      <w:r w:rsidR="009054F1" w:rsidRPr="00D806D9">
        <w:rPr>
          <w:rFonts w:asciiTheme="majorBidi" w:hAnsiTheme="majorBidi" w:cstheme="majorBidi"/>
          <w:b/>
          <w:bCs/>
          <w:sz w:val="24"/>
          <w:szCs w:val="24"/>
          <w:lang w:val="en-US"/>
        </w:rPr>
        <w:t>Evaluate</w:t>
      </w:r>
      <w:r w:rsidRPr="00D806D9">
        <w:rPr>
          <w:rFonts w:asciiTheme="majorBidi" w:hAnsiTheme="majorBidi" w:cstheme="majorBidi"/>
          <w:b/>
          <w:bCs/>
          <w:sz w:val="24"/>
          <w:szCs w:val="24"/>
          <w:lang w:val="en-US"/>
        </w:rPr>
        <w:t xml:space="preserve"> CCfD</w:t>
      </w:r>
      <w:r w:rsidR="009054F1" w:rsidRPr="00D806D9">
        <w:rPr>
          <w:rFonts w:asciiTheme="majorBidi" w:hAnsiTheme="majorBidi" w:cstheme="majorBidi"/>
          <w:b/>
          <w:bCs/>
          <w:sz w:val="24"/>
          <w:szCs w:val="24"/>
          <w:lang w:val="en-US"/>
        </w:rPr>
        <w:t xml:space="preserve"> Opportunity</w:t>
      </w:r>
    </w:p>
    <w:p w14:paraId="59E94E70" w14:textId="77777777" w:rsidR="00033CF9" w:rsidRPr="00D806D9" w:rsidRDefault="00033CF9" w:rsidP="00D806D9">
      <w:pPr>
        <w:spacing w:after="0" w:line="480" w:lineRule="auto"/>
        <w:jc w:val="both"/>
        <w:textAlignment w:val="baseline"/>
        <w:rPr>
          <w:rFonts w:asciiTheme="majorBidi" w:eastAsia="Times New Roman" w:hAnsiTheme="majorBidi" w:cstheme="majorBidi"/>
          <w:color w:val="000000"/>
          <w:sz w:val="24"/>
          <w:szCs w:val="24"/>
          <w:lang w:val="en-US" w:eastAsia="fr-FR" w:bidi="he-IL"/>
        </w:rPr>
      </w:pPr>
    </w:p>
    <w:p w14:paraId="62EECDA3" w14:textId="311082D5" w:rsidR="00033CF9" w:rsidRPr="00D806D9" w:rsidRDefault="00033CF9" w:rsidP="00D806D9">
      <w:pPr>
        <w:autoSpaceDE w:val="0"/>
        <w:autoSpaceDN w:val="0"/>
        <w:adjustRightInd w:val="0"/>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International bodies like the WB (</w:t>
      </w:r>
      <w:r w:rsidR="00BE20DE" w:rsidRPr="00D806D9">
        <w:rPr>
          <w:rFonts w:asciiTheme="majorBidi" w:eastAsia="Times New Roman" w:hAnsiTheme="majorBidi" w:cstheme="majorBidi"/>
          <w:color w:val="000000"/>
          <w:sz w:val="24"/>
          <w:szCs w:val="24"/>
          <w:lang w:val="en-US" w:eastAsia="fr-FR" w:bidi="he-IL"/>
        </w:rPr>
        <w:t>2017</w:t>
      </w:r>
      <w:r w:rsidRPr="00D806D9">
        <w:rPr>
          <w:rFonts w:asciiTheme="majorBidi" w:eastAsia="Times New Roman" w:hAnsiTheme="majorBidi" w:cstheme="majorBidi"/>
          <w:color w:val="000000"/>
          <w:sz w:val="24"/>
          <w:szCs w:val="24"/>
          <w:lang w:val="en-US" w:eastAsia="fr-FR" w:bidi="he-IL"/>
        </w:rPr>
        <w:t xml:space="preserve">) or </w:t>
      </w:r>
      <w:bookmarkStart w:id="17" w:name="_Hlk110819485"/>
      <w:r w:rsidR="00D46C10" w:rsidRPr="00D806D9">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EBRD </w:t>
      </w:r>
      <w:bookmarkEnd w:id="17"/>
      <w:r w:rsidRPr="00D806D9">
        <w:rPr>
          <w:rFonts w:asciiTheme="majorBidi" w:eastAsia="Times New Roman" w:hAnsiTheme="majorBidi" w:cstheme="majorBidi"/>
          <w:color w:val="000000"/>
          <w:sz w:val="24"/>
          <w:szCs w:val="24"/>
          <w:lang w:val="en-US" w:eastAsia="fr-FR" w:bidi="he-IL"/>
        </w:rPr>
        <w:t>(2020) through quantitative projections proposed a carbon price of “at least US$40–80/tCO</w:t>
      </w:r>
      <w:r w:rsidRPr="00D806D9">
        <w:rPr>
          <w:rFonts w:asciiTheme="majorBidi" w:eastAsia="Times New Roman" w:hAnsiTheme="majorBidi" w:cstheme="majorBidi"/>
          <w:color w:val="000000"/>
          <w:sz w:val="24"/>
          <w:szCs w:val="24"/>
          <w:vertAlign w:val="subscript"/>
          <w:lang w:val="en-US" w:eastAsia="fr-FR" w:bidi="he-IL"/>
        </w:rPr>
        <w:t>2</w:t>
      </w:r>
      <w:r w:rsidRPr="00D806D9">
        <w:rPr>
          <w:rFonts w:asciiTheme="majorBidi" w:eastAsia="Times New Roman" w:hAnsiTheme="majorBidi" w:cstheme="majorBidi"/>
          <w:color w:val="000000"/>
          <w:sz w:val="24"/>
          <w:szCs w:val="24"/>
          <w:lang w:val="en-US" w:eastAsia="fr-FR" w:bidi="he-IL"/>
        </w:rPr>
        <w:t xml:space="preserve"> by 2020 and US$50–100/tCO</w:t>
      </w:r>
      <w:r w:rsidRPr="00D806D9">
        <w:rPr>
          <w:rFonts w:asciiTheme="majorBidi" w:eastAsia="Times New Roman" w:hAnsiTheme="majorBidi" w:cstheme="majorBidi"/>
          <w:color w:val="000000"/>
          <w:sz w:val="24"/>
          <w:szCs w:val="24"/>
          <w:vertAlign w:val="subscript"/>
          <w:lang w:val="en-US" w:eastAsia="fr-FR" w:bidi="he-IL"/>
        </w:rPr>
        <w:t>2</w:t>
      </w:r>
      <w:r w:rsidRPr="00D806D9">
        <w:rPr>
          <w:rFonts w:asciiTheme="majorBidi" w:eastAsia="Times New Roman" w:hAnsiTheme="majorBidi" w:cstheme="majorBidi"/>
          <w:color w:val="000000"/>
          <w:sz w:val="24"/>
          <w:szCs w:val="24"/>
          <w:lang w:val="en-US" w:eastAsia="fr-FR" w:bidi="he-IL"/>
        </w:rPr>
        <w:t xml:space="preserve"> by 2030”</w:t>
      </w:r>
      <w:r w:rsidR="00BE20DE" w:rsidRPr="00D806D9">
        <w:rPr>
          <w:rFonts w:asciiTheme="majorBidi" w:eastAsia="Times New Roman" w:hAnsiTheme="majorBidi" w:cstheme="majorBidi"/>
          <w:color w:val="000000"/>
          <w:sz w:val="24"/>
          <w:szCs w:val="24"/>
          <w:lang w:val="en-US" w:eastAsia="fr-FR" w:bidi="he-IL"/>
        </w:rPr>
        <w:t xml:space="preserve"> (p.3)</w:t>
      </w:r>
      <w:r w:rsidRPr="00D806D9">
        <w:rPr>
          <w:rFonts w:asciiTheme="majorBidi" w:eastAsia="Times New Roman" w:hAnsiTheme="majorBidi" w:cstheme="majorBidi"/>
          <w:color w:val="000000"/>
          <w:sz w:val="24"/>
          <w:szCs w:val="24"/>
          <w:lang w:val="en-US" w:eastAsia="fr-FR" w:bidi="he-IL"/>
        </w:rPr>
        <w:t xml:space="preserve"> to impulse technological change. Similar cost estimates have been produced by scholars like Sartor and Bataille (2019) who ensure</w:t>
      </w:r>
      <w:r w:rsidR="00BE20DE" w:rsidRPr="00D806D9">
        <w:rPr>
          <w:rFonts w:asciiTheme="majorBidi" w:eastAsia="Times New Roman" w:hAnsiTheme="majorBidi" w:cstheme="majorBidi"/>
          <w:color w:val="000000"/>
          <w:sz w:val="24"/>
          <w:szCs w:val="24"/>
          <w:lang w:val="en-US" w:eastAsia="fr-FR" w:bidi="he-IL"/>
        </w:rPr>
        <w:t>d</w:t>
      </w:r>
      <w:r w:rsidRPr="00D806D9">
        <w:rPr>
          <w:rFonts w:asciiTheme="majorBidi" w:eastAsia="Times New Roman" w:hAnsiTheme="majorBidi" w:cstheme="majorBidi"/>
          <w:color w:val="000000"/>
          <w:sz w:val="24"/>
          <w:szCs w:val="24"/>
          <w:lang w:val="en-US" w:eastAsia="fr-FR" w:bidi="he-IL"/>
        </w:rPr>
        <w:t xml:space="preserve"> that CCfD would allow for the “CO</w:t>
      </w:r>
      <w:r w:rsidRPr="00D806D9">
        <w:rPr>
          <w:rFonts w:asciiTheme="majorBidi" w:eastAsia="Times New Roman" w:hAnsiTheme="majorBidi" w:cstheme="majorBidi"/>
          <w:color w:val="000000"/>
          <w:sz w:val="24"/>
          <w:szCs w:val="24"/>
          <w:vertAlign w:val="subscript"/>
          <w:lang w:val="en-US" w:eastAsia="fr-FR" w:bidi="he-IL"/>
        </w:rPr>
        <w:t xml:space="preserve">2 </w:t>
      </w:r>
      <w:r w:rsidRPr="00D806D9">
        <w:rPr>
          <w:rFonts w:asciiTheme="majorBidi" w:eastAsia="Times New Roman" w:hAnsiTheme="majorBidi" w:cstheme="majorBidi"/>
          <w:color w:val="000000"/>
          <w:sz w:val="24"/>
          <w:szCs w:val="24"/>
          <w:lang w:val="en-US" w:eastAsia="fr-FR" w:bidi="he-IL"/>
        </w:rPr>
        <w:t xml:space="preserve">price faced by investors […] [to] better reflects the true social cost of carbon in the economy [and] would complement the EU ETS by providing a sufficiently high and predictable carbon price” (p.9). They estimated breakeven </w:t>
      </w:r>
      <w:r w:rsidR="00AA5E99" w:rsidRPr="00D806D9">
        <w:rPr>
          <w:rFonts w:asciiTheme="majorBidi" w:eastAsia="Times New Roman" w:hAnsiTheme="majorBidi" w:cstheme="majorBidi"/>
          <w:color w:val="000000"/>
          <w:sz w:val="24"/>
          <w:szCs w:val="24"/>
          <w:lang w:val="en-US" w:eastAsia="fr-FR" w:bidi="he-IL"/>
        </w:rPr>
        <w:t xml:space="preserve">CAPEX and OPEX </w:t>
      </w:r>
      <w:r w:rsidR="005E2C10" w:rsidRPr="00D806D9">
        <w:rPr>
          <w:rFonts w:asciiTheme="majorBidi" w:eastAsia="Times New Roman" w:hAnsiTheme="majorBidi" w:cstheme="majorBidi"/>
          <w:noProof/>
          <w:color w:val="000000"/>
          <w:sz w:val="24"/>
          <w:szCs w:val="24"/>
          <w:lang w:val="en-US" w:eastAsia="fr-FR" w:bidi="he-IL"/>
        </w:rPr>
        <w:lastRenderedPageBreak/>
        <w:drawing>
          <wp:anchor distT="180340" distB="180340" distL="114300" distR="114300" simplePos="0" relativeHeight="251676672" behindDoc="0" locked="0" layoutInCell="1" allowOverlap="1" wp14:anchorId="5200F368" wp14:editId="71A43CB4">
            <wp:simplePos x="0" y="0"/>
            <wp:positionH relativeFrom="margin">
              <wp:align>center</wp:align>
            </wp:positionH>
            <wp:positionV relativeFrom="paragraph">
              <wp:posOffset>19098</wp:posOffset>
            </wp:positionV>
            <wp:extent cx="5400000" cy="3693600"/>
            <wp:effectExtent l="19050" t="19050" r="10795" b="21590"/>
            <wp:wrapTopAndBottom/>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00000" cy="36936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D806D9">
        <w:rPr>
          <w:rFonts w:asciiTheme="majorBidi" w:eastAsia="Times New Roman" w:hAnsiTheme="majorBidi" w:cstheme="majorBidi"/>
          <w:color w:val="000000"/>
          <w:sz w:val="24"/>
          <w:szCs w:val="24"/>
          <w:lang w:val="en-US" w:eastAsia="fr-FR" w:bidi="he-IL"/>
        </w:rPr>
        <w:t xml:space="preserve">costs for some </w:t>
      </w:r>
      <w:r w:rsidR="00397B73">
        <w:rPr>
          <w:rFonts w:asciiTheme="majorBidi" w:eastAsia="Times New Roman" w:hAnsiTheme="majorBidi" w:cstheme="majorBidi"/>
          <w:color w:val="000000"/>
          <w:sz w:val="24"/>
          <w:szCs w:val="24"/>
          <w:lang w:val="en-US" w:eastAsia="fr-FR" w:bidi="he-IL"/>
        </w:rPr>
        <w:t>low-carbon</w:t>
      </w:r>
      <w:r w:rsidRPr="00D806D9">
        <w:rPr>
          <w:rFonts w:asciiTheme="majorBidi" w:eastAsia="Times New Roman" w:hAnsiTheme="majorBidi" w:cstheme="majorBidi"/>
          <w:color w:val="000000"/>
          <w:sz w:val="24"/>
          <w:szCs w:val="24"/>
          <w:lang w:val="en-US" w:eastAsia="fr-FR" w:bidi="he-IL"/>
        </w:rPr>
        <w:t xml:space="preserve"> technologies</w:t>
      </w:r>
      <w:r w:rsidR="00F64A18">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including some LCH developments as well as the potential cost for some energy-intensive industries in France. The carbon prices considered as providing enough price signal for each technology </w:t>
      </w:r>
      <w:r w:rsidR="00EB2229">
        <w:rPr>
          <w:rFonts w:asciiTheme="majorBidi" w:eastAsia="Times New Roman" w:hAnsiTheme="majorBidi" w:cstheme="majorBidi"/>
          <w:color w:val="000000"/>
          <w:sz w:val="24"/>
          <w:szCs w:val="24"/>
          <w:lang w:val="en-US" w:eastAsia="fr-FR" w:bidi="he-IL"/>
        </w:rPr>
        <w:t>have</w:t>
      </w:r>
      <w:r w:rsidRPr="00D806D9">
        <w:rPr>
          <w:rFonts w:asciiTheme="majorBidi" w:eastAsia="Times New Roman" w:hAnsiTheme="majorBidi" w:cstheme="majorBidi"/>
          <w:color w:val="000000"/>
          <w:sz w:val="24"/>
          <w:szCs w:val="24"/>
          <w:lang w:val="en-US" w:eastAsia="fr-FR" w:bidi="he-IL"/>
        </w:rPr>
        <w:t xml:space="preserve"> also been largely overpassed since November 2021 without showing a strong reactivity from the industrial sector so far.</w:t>
      </w:r>
      <w:r w:rsidR="009054F1"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t xml:space="preserve">If previous volatility and inertia due to energy installations life and investment timeframe can explain this, Germain and </w:t>
      </w:r>
      <w:proofErr w:type="spellStart"/>
      <w:r w:rsidRPr="00D806D9">
        <w:rPr>
          <w:rFonts w:asciiTheme="majorBidi" w:eastAsia="Times New Roman" w:hAnsiTheme="majorBidi" w:cstheme="majorBidi"/>
          <w:color w:val="000000"/>
          <w:sz w:val="24"/>
          <w:szCs w:val="24"/>
          <w:lang w:val="en-US" w:eastAsia="fr-FR" w:bidi="he-IL"/>
        </w:rPr>
        <w:t>Lellouch</w:t>
      </w:r>
      <w:proofErr w:type="spellEnd"/>
      <w:r w:rsidRPr="00D806D9">
        <w:rPr>
          <w:rFonts w:asciiTheme="majorBidi" w:eastAsia="Times New Roman" w:hAnsiTheme="majorBidi" w:cstheme="majorBidi"/>
          <w:color w:val="000000"/>
          <w:sz w:val="24"/>
          <w:szCs w:val="24"/>
          <w:lang w:val="en-US" w:eastAsia="fr-FR" w:bidi="he-IL"/>
        </w:rPr>
        <w:t xml:space="preserve"> (2020) calculations establishing the social cost of carbon much higher than previously evaluated contribute to this phenomenon. Indeed, as </w:t>
      </w:r>
      <w:r w:rsidR="00EB2229">
        <w:rPr>
          <w:rFonts w:asciiTheme="majorBidi" w:eastAsia="Times New Roman" w:hAnsiTheme="majorBidi" w:cstheme="majorBidi"/>
          <w:color w:val="000000"/>
          <w:sz w:val="24"/>
          <w:szCs w:val="24"/>
          <w:lang w:val="en-US" w:eastAsia="fr-FR" w:bidi="he-IL"/>
        </w:rPr>
        <w:t xml:space="preserve">a </w:t>
      </w:r>
      <w:r w:rsidRPr="00D806D9">
        <w:rPr>
          <w:rFonts w:asciiTheme="majorBidi" w:eastAsia="Times New Roman" w:hAnsiTheme="majorBidi" w:cstheme="majorBidi"/>
          <w:color w:val="000000"/>
          <w:sz w:val="24"/>
          <w:szCs w:val="24"/>
          <w:lang w:val="en-US" w:eastAsia="fr-FR" w:bidi="he-IL"/>
        </w:rPr>
        <w:t>conservative estimation, they calculated it to be around 250€/tCO</w:t>
      </w:r>
      <w:r w:rsidRPr="00D806D9">
        <w:rPr>
          <w:rFonts w:asciiTheme="majorBidi" w:eastAsia="Times New Roman" w:hAnsiTheme="majorBidi" w:cstheme="majorBidi"/>
          <w:color w:val="000000"/>
          <w:sz w:val="24"/>
          <w:szCs w:val="24"/>
          <w:vertAlign w:val="subscript"/>
          <w:lang w:val="en-US" w:eastAsia="fr-FR" w:bidi="he-IL"/>
        </w:rPr>
        <w:t>2</w:t>
      </w:r>
      <w:r w:rsidRPr="00D806D9">
        <w:rPr>
          <w:rFonts w:asciiTheme="majorBidi" w:eastAsia="Times New Roman" w:hAnsiTheme="majorBidi" w:cstheme="majorBidi"/>
          <w:color w:val="000000"/>
          <w:sz w:val="24"/>
          <w:szCs w:val="24"/>
          <w:lang w:val="en-US" w:eastAsia="fr-FR" w:bidi="he-IL"/>
        </w:rPr>
        <w:t>eq for France in 2020</w:t>
      </w:r>
      <w:r w:rsidR="00564A47">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which is about threefold the current EUA price. The methodology they applied included elements left aside but mentioned as important by the group led by Stiglitz for the WB. This figure</w:t>
      </w:r>
      <w:r w:rsidR="00564A47">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if applied to the EU-ETS policy to indeed internalize the carbon externality as efficiently as a carbon tax (Green, 2021)</w:t>
      </w:r>
      <w:r w:rsidR="00564A47">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could create the powerful incentive the EU-ETS has been initially officially designed for.</w:t>
      </w:r>
    </w:p>
    <w:p w14:paraId="3478EC65" w14:textId="3E27CB9E" w:rsidR="00033CF9" w:rsidRPr="00D806D9" w:rsidRDefault="00033CF9" w:rsidP="00D806D9">
      <w:pPr>
        <w:spacing w:after="0" w:line="480" w:lineRule="auto"/>
        <w:jc w:val="both"/>
        <w:rPr>
          <w:rFonts w:asciiTheme="majorBidi" w:eastAsia="Times New Roman" w:hAnsiTheme="majorBidi" w:cstheme="majorBidi"/>
          <w:color w:val="000000"/>
          <w:sz w:val="24"/>
          <w:szCs w:val="24"/>
          <w:lang w:val="en-US" w:eastAsia="fr-FR" w:bidi="he-IL"/>
        </w:rPr>
      </w:pPr>
    </w:p>
    <w:p w14:paraId="6776A8A4" w14:textId="0B82BDEB" w:rsidR="009054F1" w:rsidRPr="00D806D9" w:rsidRDefault="009054F1" w:rsidP="00D806D9">
      <w:pPr>
        <w:spacing w:after="0" w:line="48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lastRenderedPageBreak/>
        <w:tab/>
        <w:t>CCfD p</w:t>
      </w:r>
      <w:r w:rsidR="00E30C3B" w:rsidRPr="00D806D9">
        <w:rPr>
          <w:rFonts w:asciiTheme="majorBidi" w:eastAsia="Times New Roman" w:hAnsiTheme="majorBidi" w:cstheme="majorBidi"/>
          <w:color w:val="000000"/>
          <w:sz w:val="24"/>
          <w:szCs w:val="24"/>
          <w:lang w:val="en-US" w:eastAsia="fr-FR" w:bidi="he-IL"/>
        </w:rPr>
        <w:t>lurality of nature within the EU-ETS</w:t>
      </w:r>
      <w:r w:rsidRPr="00D806D9">
        <w:rPr>
          <w:rFonts w:asciiTheme="majorBidi" w:eastAsia="Times New Roman" w:hAnsiTheme="majorBidi" w:cstheme="majorBidi"/>
          <w:color w:val="000000"/>
          <w:sz w:val="24"/>
          <w:szCs w:val="24"/>
          <w:lang w:val="en-US" w:eastAsia="fr-FR" w:bidi="he-IL"/>
        </w:rPr>
        <w:t xml:space="preserve">, both </w:t>
      </w:r>
      <w:r w:rsidR="00360EA7">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carbon price </w:t>
      </w:r>
      <w:r w:rsidR="00E30C3B" w:rsidRPr="00D806D9">
        <w:rPr>
          <w:rFonts w:asciiTheme="majorBidi" w:eastAsia="Times New Roman" w:hAnsiTheme="majorBidi" w:cstheme="majorBidi"/>
          <w:color w:val="000000"/>
          <w:sz w:val="24"/>
          <w:szCs w:val="24"/>
          <w:lang w:val="en-US" w:eastAsia="fr-FR" w:bidi="he-IL"/>
        </w:rPr>
        <w:t>hedging tool</w:t>
      </w:r>
      <w:r w:rsidRPr="00D806D9">
        <w:rPr>
          <w:rFonts w:asciiTheme="majorBidi" w:eastAsia="Times New Roman" w:hAnsiTheme="majorBidi" w:cstheme="majorBidi"/>
          <w:color w:val="000000"/>
          <w:sz w:val="24"/>
          <w:szCs w:val="24"/>
          <w:lang w:val="en-US" w:eastAsia="fr-FR" w:bidi="he-IL"/>
        </w:rPr>
        <w:t xml:space="preserve"> and</w:t>
      </w:r>
      <w:r w:rsidR="00E30C3B" w:rsidRPr="00D806D9">
        <w:rPr>
          <w:rFonts w:asciiTheme="majorBidi" w:eastAsia="Times New Roman" w:hAnsiTheme="majorBidi" w:cstheme="majorBidi"/>
          <w:color w:val="000000"/>
          <w:sz w:val="24"/>
          <w:szCs w:val="24"/>
          <w:lang w:val="en-US" w:eastAsia="fr-FR" w:bidi="he-IL"/>
        </w:rPr>
        <w:t xml:space="preserve"> innovation subsidy</w:t>
      </w:r>
      <w:r w:rsidRPr="00D806D9">
        <w:rPr>
          <w:rFonts w:asciiTheme="majorBidi" w:eastAsia="Times New Roman" w:hAnsiTheme="majorBidi" w:cstheme="majorBidi"/>
          <w:color w:val="000000"/>
          <w:sz w:val="24"/>
          <w:szCs w:val="24"/>
          <w:lang w:val="en-US" w:eastAsia="fr-FR" w:bidi="he-IL"/>
        </w:rPr>
        <w:t>,</w:t>
      </w:r>
      <w:r w:rsidR="00E30C3B" w:rsidRPr="00D806D9">
        <w:rPr>
          <w:rFonts w:asciiTheme="majorBidi" w:eastAsia="Times New Roman" w:hAnsiTheme="majorBidi" w:cstheme="majorBidi"/>
          <w:color w:val="000000"/>
          <w:sz w:val="24"/>
          <w:szCs w:val="24"/>
          <w:lang w:val="en-US" w:eastAsia="fr-FR" w:bidi="he-IL"/>
        </w:rPr>
        <w:t xml:space="preserve"> makes it</w:t>
      </w:r>
      <w:r w:rsidRPr="00D806D9">
        <w:rPr>
          <w:rFonts w:asciiTheme="majorBidi" w:eastAsia="Times New Roman" w:hAnsiTheme="majorBidi" w:cstheme="majorBidi"/>
          <w:color w:val="000000"/>
          <w:sz w:val="24"/>
          <w:szCs w:val="24"/>
          <w:lang w:val="en-US" w:eastAsia="fr-FR" w:bidi="he-IL"/>
        </w:rPr>
        <w:t xml:space="preserve"> difficult to apprehend. </w:t>
      </w:r>
      <w:r w:rsidR="003E7716" w:rsidRPr="00D806D9">
        <w:rPr>
          <w:rFonts w:asciiTheme="majorBidi" w:eastAsia="Times New Roman" w:hAnsiTheme="majorBidi" w:cstheme="majorBidi"/>
          <w:color w:val="000000"/>
          <w:sz w:val="24"/>
          <w:szCs w:val="24"/>
          <w:lang w:val="en-US" w:eastAsia="fr-FR" w:bidi="he-IL"/>
        </w:rPr>
        <w:t xml:space="preserve">Based on </w:t>
      </w:r>
      <w:r w:rsidR="00360EA7">
        <w:rPr>
          <w:rFonts w:asciiTheme="majorBidi" w:eastAsia="Times New Roman" w:hAnsiTheme="majorBidi" w:cstheme="majorBidi"/>
          <w:color w:val="000000"/>
          <w:sz w:val="24"/>
          <w:szCs w:val="24"/>
          <w:lang w:val="en-US" w:eastAsia="fr-FR" w:bidi="he-IL"/>
        </w:rPr>
        <w:t xml:space="preserve">the </w:t>
      </w:r>
      <w:r w:rsidR="003E7716" w:rsidRPr="00D806D9">
        <w:rPr>
          <w:rFonts w:asciiTheme="majorBidi" w:eastAsia="Times New Roman" w:hAnsiTheme="majorBidi" w:cstheme="majorBidi"/>
          <w:color w:val="000000"/>
          <w:sz w:val="24"/>
          <w:szCs w:val="24"/>
          <w:lang w:val="en-US" w:eastAsia="fr-FR" w:bidi="he-IL"/>
        </w:rPr>
        <w:t>EUA price, it however operates outside its field to increase</w:t>
      </w:r>
      <w:r w:rsidR="00360EA7">
        <w:rPr>
          <w:rFonts w:asciiTheme="majorBidi" w:eastAsia="Times New Roman" w:hAnsiTheme="majorBidi" w:cstheme="majorBidi"/>
          <w:color w:val="000000"/>
          <w:sz w:val="24"/>
          <w:szCs w:val="24"/>
          <w:lang w:val="en-US" w:eastAsia="fr-FR" w:bidi="he-IL"/>
        </w:rPr>
        <w:t xml:space="preserve"> the</w:t>
      </w:r>
      <w:r w:rsidR="003E7716" w:rsidRPr="00D806D9">
        <w:rPr>
          <w:rFonts w:asciiTheme="majorBidi" w:eastAsia="Times New Roman" w:hAnsiTheme="majorBidi" w:cstheme="majorBidi"/>
          <w:color w:val="000000"/>
          <w:sz w:val="24"/>
          <w:szCs w:val="24"/>
          <w:lang w:val="en-US" w:eastAsia="fr-FR" w:bidi="he-IL"/>
        </w:rPr>
        <w:t xml:space="preserve"> financial viability for operators at the detriment of the public interest and without counterpart</w:t>
      </w:r>
      <w:r w:rsidR="00EB2229">
        <w:rPr>
          <w:rFonts w:asciiTheme="majorBidi" w:eastAsia="Times New Roman" w:hAnsiTheme="majorBidi" w:cstheme="majorBidi"/>
          <w:color w:val="000000"/>
          <w:sz w:val="24"/>
          <w:szCs w:val="24"/>
          <w:lang w:val="en-US" w:eastAsia="fr-FR" w:bidi="he-IL"/>
        </w:rPr>
        <w:t>s</w:t>
      </w:r>
      <w:r w:rsidR="003E7716" w:rsidRPr="00D806D9">
        <w:rPr>
          <w:rFonts w:asciiTheme="majorBidi" w:eastAsia="Times New Roman" w:hAnsiTheme="majorBidi" w:cstheme="majorBidi"/>
          <w:color w:val="000000"/>
          <w:sz w:val="24"/>
          <w:szCs w:val="24"/>
          <w:lang w:val="en-US" w:eastAsia="fr-FR" w:bidi="he-IL"/>
        </w:rPr>
        <w:t xml:space="preserve"> </w:t>
      </w:r>
      <w:r w:rsidR="00EB2229">
        <w:rPr>
          <w:rFonts w:asciiTheme="majorBidi" w:eastAsia="Times New Roman" w:hAnsiTheme="majorBidi" w:cstheme="majorBidi"/>
          <w:color w:val="000000"/>
          <w:sz w:val="24"/>
          <w:szCs w:val="24"/>
          <w:lang w:val="en-US" w:eastAsia="fr-FR" w:bidi="he-IL"/>
        </w:rPr>
        <w:t>or</w:t>
      </w:r>
      <w:r w:rsidR="003E7716" w:rsidRPr="00D806D9">
        <w:rPr>
          <w:rFonts w:asciiTheme="majorBidi" w:eastAsia="Times New Roman" w:hAnsiTheme="majorBidi" w:cstheme="majorBidi"/>
          <w:color w:val="000000"/>
          <w:sz w:val="24"/>
          <w:szCs w:val="24"/>
          <w:lang w:val="en-US" w:eastAsia="fr-FR" w:bidi="he-IL"/>
        </w:rPr>
        <w:t xml:space="preserve"> guarant</w:t>
      </w:r>
      <w:r w:rsidR="00360EA7">
        <w:rPr>
          <w:rFonts w:asciiTheme="majorBidi" w:eastAsia="Times New Roman" w:hAnsiTheme="majorBidi" w:cstheme="majorBidi"/>
          <w:color w:val="000000"/>
          <w:sz w:val="24"/>
          <w:szCs w:val="24"/>
          <w:lang w:val="en-US" w:eastAsia="fr-FR" w:bidi="he-IL"/>
        </w:rPr>
        <w:t>ies</w:t>
      </w:r>
      <w:r w:rsidR="003E7716" w:rsidRPr="00D806D9">
        <w:rPr>
          <w:rFonts w:asciiTheme="majorBidi" w:eastAsia="Times New Roman" w:hAnsiTheme="majorBidi" w:cstheme="majorBidi"/>
          <w:color w:val="000000"/>
          <w:sz w:val="24"/>
          <w:szCs w:val="24"/>
          <w:lang w:val="en-US" w:eastAsia="fr-FR" w:bidi="he-IL"/>
        </w:rPr>
        <w:t xml:space="preserve"> of any sort. </w:t>
      </w:r>
      <w:r w:rsidRPr="00D806D9">
        <w:rPr>
          <w:rFonts w:asciiTheme="majorBidi" w:eastAsia="Times New Roman" w:hAnsiTheme="majorBidi" w:cstheme="majorBidi"/>
          <w:color w:val="000000"/>
          <w:sz w:val="24"/>
          <w:szCs w:val="24"/>
          <w:lang w:val="en-US" w:eastAsia="fr-FR" w:bidi="he-IL"/>
        </w:rPr>
        <w:t>Even though its potential benefits are clear, its pitfalls could prove to be disastrous</w:t>
      </w:r>
      <w:r w:rsidR="00360EA7">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as the following section will suggest.</w:t>
      </w:r>
    </w:p>
    <w:p w14:paraId="36DB5B9A" w14:textId="5CA01F94" w:rsidR="002443F7" w:rsidRPr="00D806D9" w:rsidRDefault="002443F7" w:rsidP="00D806D9">
      <w:pPr>
        <w:spacing w:after="0" w:line="480" w:lineRule="auto"/>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br w:type="page"/>
      </w:r>
    </w:p>
    <w:p w14:paraId="2DB27913" w14:textId="2729A452" w:rsidR="007C5335" w:rsidRPr="00D806D9" w:rsidRDefault="007C5335" w:rsidP="00D806D9">
      <w:pPr>
        <w:spacing w:after="0" w:line="480" w:lineRule="auto"/>
        <w:ind w:left="1418" w:hanging="1418"/>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 xml:space="preserve">Section </w:t>
      </w:r>
      <w:r w:rsidR="002443F7" w:rsidRPr="00D806D9">
        <w:rPr>
          <w:rFonts w:asciiTheme="majorBidi" w:hAnsiTheme="majorBidi" w:cstheme="majorBidi"/>
          <w:b/>
          <w:bCs/>
          <w:sz w:val="24"/>
          <w:szCs w:val="24"/>
          <w:lang w:val="en-US"/>
        </w:rPr>
        <w:t>5</w:t>
      </w:r>
      <w:r w:rsidR="002443F7" w:rsidRPr="00D806D9">
        <w:rPr>
          <w:rFonts w:asciiTheme="majorBidi" w:hAnsiTheme="majorBidi" w:cstheme="majorBidi"/>
          <w:b/>
          <w:bCs/>
          <w:sz w:val="24"/>
          <w:szCs w:val="24"/>
          <w:lang w:val="en-US"/>
        </w:rPr>
        <w:tab/>
      </w:r>
      <w:r w:rsidRPr="00D806D9">
        <w:rPr>
          <w:rFonts w:asciiTheme="majorBidi" w:hAnsiTheme="majorBidi" w:cstheme="majorBidi"/>
          <w:b/>
          <w:bCs/>
          <w:sz w:val="24"/>
          <w:szCs w:val="24"/>
          <w:lang w:val="en-US"/>
        </w:rPr>
        <w:t>Discussion</w:t>
      </w:r>
    </w:p>
    <w:p w14:paraId="32DBA652" w14:textId="77777777" w:rsidR="007C5335" w:rsidRPr="00D806D9" w:rsidRDefault="007C5335" w:rsidP="00D806D9">
      <w:pPr>
        <w:spacing w:after="0" w:line="480" w:lineRule="auto"/>
        <w:jc w:val="both"/>
        <w:textAlignment w:val="baseline"/>
        <w:rPr>
          <w:rFonts w:asciiTheme="majorBidi" w:hAnsiTheme="majorBidi" w:cstheme="majorBidi"/>
          <w:b/>
          <w:bCs/>
          <w:sz w:val="24"/>
          <w:szCs w:val="24"/>
          <w:lang w:val="en-US"/>
        </w:rPr>
      </w:pPr>
    </w:p>
    <w:p w14:paraId="2F885827" w14:textId="7A3749C1" w:rsidR="007C5335" w:rsidRPr="00D806D9" w:rsidRDefault="007C5335" w:rsidP="00D806D9">
      <w:pPr>
        <w:spacing w:after="0" w:line="480" w:lineRule="auto"/>
        <w:ind w:firstLine="708"/>
        <w:jc w:val="both"/>
        <w:rPr>
          <w:rFonts w:asciiTheme="majorBidi" w:eastAsia="Times New Roman" w:hAnsiTheme="majorBidi" w:cstheme="majorBidi"/>
          <w:color w:val="FF0000"/>
          <w:sz w:val="24"/>
          <w:szCs w:val="24"/>
          <w:lang w:val="en-US" w:eastAsia="fr-FR"/>
        </w:rPr>
      </w:pPr>
      <w:r w:rsidRPr="00D806D9">
        <w:rPr>
          <w:rFonts w:asciiTheme="majorBidi" w:eastAsia="Times New Roman" w:hAnsiTheme="majorBidi" w:cstheme="majorBidi"/>
          <w:sz w:val="24"/>
          <w:szCs w:val="24"/>
          <w:lang w:val="en-US" w:eastAsia="fr-FR"/>
        </w:rPr>
        <w:t>EC’s choice to fully support LCH seems in contradiction with environmental efficiency</w:t>
      </w:r>
      <w:r w:rsidR="007642C6">
        <w:rPr>
          <w:rFonts w:asciiTheme="majorBidi" w:eastAsia="Times New Roman" w:hAnsiTheme="majorBidi" w:cstheme="majorBidi"/>
          <w:sz w:val="24"/>
          <w:szCs w:val="24"/>
          <w:lang w:val="en-US" w:eastAsia="fr-FR"/>
        </w:rPr>
        <w:t>,</w:t>
      </w:r>
      <w:r w:rsidRPr="00D806D9">
        <w:rPr>
          <w:rFonts w:asciiTheme="majorBidi" w:eastAsia="Times New Roman" w:hAnsiTheme="majorBidi" w:cstheme="majorBidi"/>
          <w:sz w:val="24"/>
          <w:szCs w:val="24"/>
          <w:lang w:val="en-US" w:eastAsia="fr-FR"/>
        </w:rPr>
        <w:t xml:space="preserve"> as we have seen. </w:t>
      </w:r>
      <w:r w:rsidRPr="00D806D9">
        <w:rPr>
          <w:rFonts w:asciiTheme="majorBidi" w:eastAsia="Times New Roman" w:hAnsiTheme="majorBidi" w:cstheme="majorBidi"/>
          <w:sz w:val="24"/>
          <w:szCs w:val="24"/>
          <w:lang w:val="en-US" w:eastAsia="fr-FR" w:bidi="he-IL"/>
        </w:rPr>
        <w:t>The i</w:t>
      </w:r>
      <w:r w:rsidRPr="00D806D9">
        <w:rPr>
          <w:rFonts w:asciiTheme="majorBidi" w:eastAsia="Times New Roman" w:hAnsiTheme="majorBidi" w:cstheme="majorBidi"/>
          <w:sz w:val="24"/>
          <w:szCs w:val="24"/>
          <w:lang w:val="en-US" w:eastAsia="fr-FR"/>
        </w:rPr>
        <w:t>nclusion of CCfD in climate policy appears as an</w:t>
      </w:r>
      <w:r w:rsidR="00EB2229">
        <w:rPr>
          <w:rFonts w:asciiTheme="majorBidi" w:eastAsia="Times New Roman" w:hAnsiTheme="majorBidi" w:cstheme="majorBidi"/>
          <w:sz w:val="24"/>
          <w:szCs w:val="24"/>
          <w:lang w:val="en-US" w:eastAsia="fr-FR"/>
        </w:rPr>
        <w:t xml:space="preserve"> pressured </w:t>
      </w:r>
      <w:r w:rsidRPr="00D806D9">
        <w:rPr>
          <w:rFonts w:asciiTheme="majorBidi" w:eastAsia="Times New Roman" w:hAnsiTheme="majorBidi" w:cstheme="majorBidi"/>
          <w:sz w:val="24"/>
          <w:szCs w:val="24"/>
          <w:lang w:val="en-US" w:eastAsia="fr-FR"/>
        </w:rPr>
        <w:t xml:space="preserve">response to the geopolitical and energy emergency, not a climatic one. If additional incentives </w:t>
      </w:r>
      <w:r w:rsidR="007642C6">
        <w:rPr>
          <w:rFonts w:asciiTheme="majorBidi" w:eastAsia="Times New Roman" w:hAnsiTheme="majorBidi" w:cstheme="majorBidi"/>
          <w:sz w:val="24"/>
          <w:szCs w:val="24"/>
          <w:lang w:val="en-US" w:eastAsia="fr-FR"/>
        </w:rPr>
        <w:t>must</w:t>
      </w:r>
      <w:r w:rsidRPr="00D806D9">
        <w:rPr>
          <w:rFonts w:asciiTheme="majorBidi" w:eastAsia="Times New Roman" w:hAnsiTheme="majorBidi" w:cstheme="majorBidi"/>
          <w:sz w:val="24"/>
          <w:szCs w:val="24"/>
          <w:lang w:val="en-US" w:eastAsia="fr-FR"/>
        </w:rPr>
        <w:t xml:space="preserve"> support eco-innovations, CCfD does not seem to be the most adequate one. Other policy choices are available, particularly some allowing a greater GHGE reduction impact and ultimately economic efficiency.</w:t>
      </w:r>
    </w:p>
    <w:p w14:paraId="1CAAAB22" w14:textId="77777777" w:rsidR="007C5335" w:rsidRPr="00D806D9" w:rsidRDefault="007C5335" w:rsidP="00D806D9">
      <w:pPr>
        <w:spacing w:after="0" w:line="480" w:lineRule="auto"/>
        <w:jc w:val="both"/>
        <w:textAlignment w:val="baseline"/>
        <w:rPr>
          <w:rFonts w:asciiTheme="majorBidi" w:hAnsiTheme="majorBidi" w:cstheme="majorBidi"/>
          <w:b/>
          <w:bCs/>
          <w:sz w:val="24"/>
          <w:szCs w:val="24"/>
          <w:lang w:val="en-US"/>
        </w:rPr>
      </w:pPr>
    </w:p>
    <w:p w14:paraId="5A73FE75" w14:textId="77777777" w:rsidR="007C5335" w:rsidRPr="00D806D9" w:rsidRDefault="007C5335" w:rsidP="00D806D9">
      <w:pPr>
        <w:spacing w:after="0" w:line="480" w:lineRule="auto"/>
        <w:ind w:left="1413" w:hanging="705"/>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t>5.1.</w:t>
      </w:r>
      <w:r w:rsidRPr="00D806D9">
        <w:rPr>
          <w:rFonts w:asciiTheme="majorBidi" w:hAnsiTheme="majorBidi" w:cstheme="majorBidi"/>
          <w:b/>
          <w:bCs/>
          <w:sz w:val="24"/>
          <w:szCs w:val="24"/>
          <w:lang w:val="en-US"/>
        </w:rPr>
        <w:tab/>
        <w:t>LCH: a choice based on economic strategic behavior rather than environmental efficiency?</w:t>
      </w:r>
    </w:p>
    <w:p w14:paraId="2EF5B6CE" w14:textId="77777777" w:rsidR="007C5335" w:rsidRPr="00D806D9" w:rsidRDefault="007C5335" w:rsidP="00D806D9">
      <w:pPr>
        <w:spacing w:after="0" w:line="480" w:lineRule="auto"/>
        <w:jc w:val="both"/>
        <w:textAlignment w:val="baseline"/>
        <w:rPr>
          <w:rFonts w:asciiTheme="majorBidi" w:hAnsiTheme="majorBidi" w:cstheme="majorBidi"/>
          <w:b/>
          <w:bCs/>
          <w:sz w:val="24"/>
          <w:szCs w:val="24"/>
          <w:lang w:val="en-US"/>
        </w:rPr>
      </w:pPr>
    </w:p>
    <w:p w14:paraId="2372D0AF" w14:textId="0BA62D23" w:rsidR="007C5335" w:rsidRPr="00D806D9" w:rsidRDefault="007C5335" w:rsidP="00D806D9">
      <w:pPr>
        <w:spacing w:after="0" w:line="480" w:lineRule="auto"/>
        <w:ind w:firstLine="708"/>
        <w:jc w:val="both"/>
        <w:textAlignment w:val="baseline"/>
        <w:rPr>
          <w:rFonts w:asciiTheme="majorBidi" w:eastAsia="Times New Roman" w:hAnsiTheme="majorBidi" w:cstheme="majorBidi"/>
          <w:sz w:val="24"/>
          <w:szCs w:val="24"/>
          <w:lang w:val="en-US" w:eastAsia="fr-FR"/>
        </w:rPr>
      </w:pPr>
      <w:r w:rsidRPr="00D806D9">
        <w:rPr>
          <w:rFonts w:asciiTheme="majorBidi" w:eastAsia="Times New Roman" w:hAnsiTheme="majorBidi" w:cstheme="majorBidi"/>
          <w:sz w:val="24"/>
          <w:szCs w:val="24"/>
          <w:lang w:val="en-US" w:eastAsia="fr-FR"/>
        </w:rPr>
        <w:t>First, considering the mentioned technological limitations and energy inefficiencies of LCH, this technological choice does not seem to fit the IPCC double “immediate and deep” decarbonization criterion. T</w:t>
      </w:r>
      <w:r w:rsidRPr="00D806D9">
        <w:rPr>
          <w:rFonts w:asciiTheme="majorBidi" w:hAnsiTheme="majorBidi" w:cstheme="majorBidi"/>
          <w:sz w:val="24"/>
          <w:szCs w:val="24"/>
          <w:lang w:val="en-US"/>
        </w:rPr>
        <w:t xml:space="preserve">he impact of hydrogen as a GHG is unclear as </w:t>
      </w:r>
      <w:r w:rsidR="00EB2229">
        <w:rPr>
          <w:rFonts w:asciiTheme="majorBidi" w:hAnsiTheme="majorBidi" w:cstheme="majorBidi"/>
          <w:sz w:val="24"/>
          <w:szCs w:val="24"/>
          <w:lang w:val="en-US"/>
        </w:rPr>
        <w:t xml:space="preserve">it has </w:t>
      </w:r>
      <w:r w:rsidRPr="00D806D9">
        <w:rPr>
          <w:rFonts w:asciiTheme="majorBidi" w:hAnsiTheme="majorBidi" w:cstheme="majorBidi"/>
          <w:sz w:val="24"/>
          <w:szCs w:val="24"/>
          <w:lang w:val="en-US"/>
        </w:rPr>
        <w:t>not</w:t>
      </w:r>
      <w:r w:rsidR="00EB2229">
        <w:rPr>
          <w:rFonts w:asciiTheme="majorBidi" w:hAnsiTheme="majorBidi" w:cstheme="majorBidi"/>
          <w:sz w:val="24"/>
          <w:szCs w:val="24"/>
          <w:lang w:val="en-US"/>
        </w:rPr>
        <w:t xml:space="preserve"> been</w:t>
      </w:r>
      <w:r w:rsidRPr="00D806D9">
        <w:rPr>
          <w:rFonts w:asciiTheme="majorBidi" w:hAnsiTheme="majorBidi" w:cstheme="majorBidi"/>
          <w:sz w:val="24"/>
          <w:szCs w:val="24"/>
          <w:lang w:val="en-US"/>
        </w:rPr>
        <w:t xml:space="preserve"> identified as a</w:t>
      </w:r>
      <w:r w:rsidR="00EB2229">
        <w:rPr>
          <w:rFonts w:asciiTheme="majorBidi" w:hAnsiTheme="majorBidi" w:cstheme="majorBidi"/>
          <w:sz w:val="24"/>
          <w:szCs w:val="24"/>
          <w:lang w:val="en-US"/>
        </w:rPr>
        <w:t>n important</w:t>
      </w:r>
      <w:r w:rsidRPr="00D806D9">
        <w:rPr>
          <w:rFonts w:asciiTheme="majorBidi" w:hAnsiTheme="majorBidi" w:cstheme="majorBidi"/>
          <w:sz w:val="24"/>
          <w:szCs w:val="24"/>
          <w:lang w:val="en-US"/>
        </w:rPr>
        <w:t xml:space="preserve"> climate forcer until now but</w:t>
      </w:r>
      <w:r w:rsidR="00EB2229">
        <w:rPr>
          <w:rFonts w:asciiTheme="majorBidi" w:hAnsiTheme="majorBidi" w:cstheme="majorBidi"/>
          <w:sz w:val="24"/>
          <w:szCs w:val="24"/>
          <w:lang w:val="en-US"/>
        </w:rPr>
        <w:t xml:space="preserve"> is</w:t>
      </w:r>
      <w:r w:rsidRPr="00D806D9">
        <w:rPr>
          <w:rFonts w:asciiTheme="majorBidi" w:hAnsiTheme="majorBidi" w:cstheme="majorBidi"/>
          <w:sz w:val="24"/>
          <w:szCs w:val="24"/>
          <w:lang w:val="en-US"/>
        </w:rPr>
        <w:t xml:space="preserve"> far from “greenhouse consequences and would not be free from climate perturbations” (Derwent et al., 2006, p.1). This could change with its massification and recent studies tend to show that its impact on the climate has been previously minimized (</w:t>
      </w:r>
      <w:bookmarkStart w:id="18" w:name="_Hlk110958290"/>
      <w:r w:rsidRPr="00D806D9">
        <w:rPr>
          <w:rFonts w:asciiTheme="majorBidi" w:hAnsiTheme="majorBidi" w:cstheme="majorBidi"/>
          <w:sz w:val="24"/>
          <w:szCs w:val="24"/>
          <w:lang w:val="en-US"/>
        </w:rPr>
        <w:t xml:space="preserve">e.g., </w:t>
      </w:r>
      <w:proofErr w:type="spellStart"/>
      <w:r w:rsidRPr="00D806D9">
        <w:rPr>
          <w:rFonts w:asciiTheme="majorBidi" w:hAnsiTheme="majorBidi" w:cstheme="majorBidi"/>
          <w:sz w:val="24"/>
          <w:szCs w:val="24"/>
          <w:lang w:val="en-US"/>
        </w:rPr>
        <w:t>Ocko</w:t>
      </w:r>
      <w:proofErr w:type="spellEnd"/>
      <w:r w:rsidRPr="00D806D9">
        <w:rPr>
          <w:rFonts w:asciiTheme="majorBidi" w:hAnsiTheme="majorBidi" w:cstheme="majorBidi"/>
          <w:sz w:val="24"/>
          <w:szCs w:val="24"/>
          <w:lang w:val="en-US"/>
        </w:rPr>
        <w:t xml:space="preserve"> &amp; Hamburg, 2022</w:t>
      </w:r>
      <w:bookmarkEnd w:id="18"/>
      <w:r w:rsidRPr="00D806D9">
        <w:rPr>
          <w:rFonts w:asciiTheme="majorBidi" w:hAnsiTheme="majorBidi" w:cstheme="majorBidi"/>
          <w:sz w:val="24"/>
          <w:szCs w:val="24"/>
          <w:lang w:val="en-US"/>
        </w:rPr>
        <w:t xml:space="preserve">). </w:t>
      </w:r>
      <w:r w:rsidRPr="00D806D9">
        <w:rPr>
          <w:rFonts w:asciiTheme="majorBidi" w:eastAsia="Times New Roman" w:hAnsiTheme="majorBidi" w:cstheme="majorBidi"/>
          <w:sz w:val="24"/>
          <w:szCs w:val="24"/>
          <w:lang w:val="en-US" w:eastAsia="fr-FR"/>
        </w:rPr>
        <w:t xml:space="preserve">Besides, </w:t>
      </w:r>
      <w:proofErr w:type="spellStart"/>
      <w:r w:rsidRPr="00D806D9">
        <w:rPr>
          <w:rFonts w:asciiTheme="majorBidi" w:eastAsia="Times New Roman" w:hAnsiTheme="majorBidi" w:cstheme="majorBidi"/>
          <w:sz w:val="24"/>
          <w:szCs w:val="24"/>
          <w:lang w:val="en-US" w:eastAsia="fr-FR"/>
        </w:rPr>
        <w:t>Jorgo</w:t>
      </w:r>
      <w:proofErr w:type="spellEnd"/>
      <w:r w:rsidRPr="00D806D9">
        <w:rPr>
          <w:rFonts w:asciiTheme="majorBidi" w:eastAsia="Times New Roman" w:hAnsiTheme="majorBidi" w:cstheme="majorBidi"/>
          <w:sz w:val="24"/>
          <w:szCs w:val="24"/>
          <w:lang w:val="en-US" w:eastAsia="fr-FR"/>
        </w:rPr>
        <w:t xml:space="preserve"> </w:t>
      </w:r>
      <w:proofErr w:type="spellStart"/>
      <w:r w:rsidRPr="00D806D9">
        <w:rPr>
          <w:rFonts w:asciiTheme="majorBidi" w:eastAsia="Times New Roman" w:hAnsiTheme="majorBidi" w:cstheme="majorBidi"/>
          <w:sz w:val="24"/>
          <w:szCs w:val="24"/>
          <w:lang w:val="en-US" w:eastAsia="fr-FR"/>
        </w:rPr>
        <w:t>Chatzimarkakis</w:t>
      </w:r>
      <w:proofErr w:type="spellEnd"/>
      <w:r w:rsidRPr="00D806D9">
        <w:rPr>
          <w:rFonts w:asciiTheme="majorBidi" w:eastAsia="Times New Roman" w:hAnsiTheme="majorBidi" w:cstheme="majorBidi"/>
          <w:sz w:val="24"/>
          <w:szCs w:val="24"/>
          <w:lang w:val="en-US" w:eastAsia="fr-FR"/>
        </w:rPr>
        <w:t xml:space="preserve">, director of Hydrogen Europe who represents </w:t>
      </w:r>
      <w:r w:rsidR="004C2064">
        <w:rPr>
          <w:rFonts w:asciiTheme="majorBidi" w:eastAsia="Times New Roman" w:hAnsiTheme="majorBidi" w:cstheme="majorBidi"/>
          <w:sz w:val="24"/>
          <w:szCs w:val="24"/>
          <w:lang w:val="en-US" w:eastAsia="fr-FR"/>
        </w:rPr>
        <w:t xml:space="preserve">the </w:t>
      </w:r>
      <w:r w:rsidRPr="00D806D9">
        <w:rPr>
          <w:rFonts w:asciiTheme="majorBidi" w:eastAsia="Times New Roman" w:hAnsiTheme="majorBidi" w:cstheme="majorBidi"/>
          <w:sz w:val="24"/>
          <w:szCs w:val="24"/>
          <w:lang w:val="en-US" w:eastAsia="fr-FR"/>
        </w:rPr>
        <w:t xml:space="preserve">European hydrogen industry, stated that the RepowerEU objectives “would require an </w:t>
      </w:r>
      <w:proofErr w:type="spellStart"/>
      <w:r w:rsidRPr="00D806D9">
        <w:rPr>
          <w:rFonts w:asciiTheme="majorBidi" w:eastAsia="Times New Roman" w:hAnsiTheme="majorBidi" w:cstheme="majorBidi"/>
          <w:sz w:val="24"/>
          <w:szCs w:val="24"/>
          <w:lang w:val="en-US" w:eastAsia="fr-FR"/>
        </w:rPr>
        <w:t>electrolyser</w:t>
      </w:r>
      <w:proofErr w:type="spellEnd"/>
      <w:r w:rsidRPr="00D806D9">
        <w:rPr>
          <w:rFonts w:asciiTheme="majorBidi" w:eastAsia="Times New Roman" w:hAnsiTheme="majorBidi" w:cstheme="majorBidi"/>
          <w:sz w:val="24"/>
          <w:szCs w:val="24"/>
          <w:lang w:val="en-US" w:eastAsia="fr-FR"/>
        </w:rPr>
        <w:t xml:space="preserve"> capacity of 320.000 MW - compared to the EU Commission's H2 strategy of 40,000 MW from summer 2020. The capacity worldwide would be just 3,000 MW” (</w:t>
      </w:r>
      <w:proofErr w:type="spellStart"/>
      <w:r w:rsidRPr="00D806D9">
        <w:rPr>
          <w:rFonts w:asciiTheme="majorBidi" w:eastAsia="Times New Roman" w:hAnsiTheme="majorBidi" w:cstheme="majorBidi"/>
          <w:sz w:val="24"/>
          <w:szCs w:val="24"/>
          <w:lang w:val="en-US" w:eastAsia="fr-FR"/>
        </w:rPr>
        <w:t>Lütkehus</w:t>
      </w:r>
      <w:proofErr w:type="spellEnd"/>
      <w:r w:rsidRPr="00D806D9">
        <w:rPr>
          <w:rFonts w:asciiTheme="majorBidi" w:eastAsia="Times New Roman" w:hAnsiTheme="majorBidi" w:cstheme="majorBidi"/>
          <w:sz w:val="24"/>
          <w:szCs w:val="24"/>
          <w:lang w:val="en-US" w:eastAsia="fr-FR"/>
        </w:rPr>
        <w:t xml:space="preserve">, 2022). The need of sufficient </w:t>
      </w:r>
      <w:r w:rsidR="00397B73">
        <w:rPr>
          <w:rFonts w:asciiTheme="majorBidi" w:eastAsia="Times New Roman" w:hAnsiTheme="majorBidi" w:cstheme="majorBidi"/>
          <w:sz w:val="24"/>
          <w:szCs w:val="24"/>
          <w:lang w:val="en-US" w:eastAsia="fr-FR"/>
        </w:rPr>
        <w:t>low-carbon</w:t>
      </w:r>
      <w:r w:rsidRPr="00D806D9">
        <w:rPr>
          <w:rFonts w:asciiTheme="majorBidi" w:eastAsia="Times New Roman" w:hAnsiTheme="majorBidi" w:cstheme="majorBidi"/>
          <w:sz w:val="24"/>
          <w:szCs w:val="24"/>
          <w:lang w:val="en-US" w:eastAsia="fr-FR"/>
        </w:rPr>
        <w:t xml:space="preserve"> electricity supply that would need to be produced parallelly in compliance with the additionality principle would be </w:t>
      </w:r>
      <w:r w:rsidRPr="00D806D9">
        <w:rPr>
          <w:rFonts w:asciiTheme="majorBidi" w:eastAsia="Times New Roman" w:hAnsiTheme="majorBidi" w:cstheme="majorBidi"/>
          <w:sz w:val="24"/>
          <w:szCs w:val="24"/>
          <w:lang w:val="en-US" w:eastAsia="fr-FR"/>
        </w:rPr>
        <w:lastRenderedPageBreak/>
        <w:t xml:space="preserve">another huge challenge. </w:t>
      </w:r>
      <w:r w:rsidRPr="00D806D9">
        <w:rPr>
          <w:rFonts w:asciiTheme="majorBidi" w:hAnsiTheme="majorBidi" w:cstheme="majorBidi"/>
          <w:sz w:val="24"/>
          <w:szCs w:val="24"/>
          <w:lang w:val="en-US"/>
        </w:rPr>
        <w:t>Further, CCS does not correspond to a carbon-neutral activity and entails several very significant risks. Financial commitments to be bearable must be foreseeable by the private actors</w:t>
      </w:r>
      <w:r w:rsidR="00957D5A">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which </w:t>
      </w:r>
      <w:r w:rsidR="006B0ADE">
        <w:rPr>
          <w:rFonts w:asciiTheme="majorBidi" w:hAnsiTheme="majorBidi" w:cstheme="majorBidi"/>
          <w:sz w:val="24"/>
          <w:szCs w:val="24"/>
          <w:lang w:val="en-US"/>
        </w:rPr>
        <w:t>imply</w:t>
      </w:r>
      <w:r w:rsidRPr="00D806D9">
        <w:rPr>
          <w:rFonts w:asciiTheme="majorBidi" w:hAnsiTheme="majorBidi" w:cstheme="majorBidi"/>
          <w:sz w:val="24"/>
          <w:szCs w:val="24"/>
          <w:lang w:val="en-US"/>
        </w:rPr>
        <w:t xml:space="preserve"> a limited duration of their burden. Nonetheless, </w:t>
      </w:r>
      <w:r w:rsidR="006B0ADE">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time scales on which CCS operate</w:t>
      </w:r>
      <w:r w:rsidR="006B0ADE">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 intrinsically contradict their need for visibility (on this and below CCS legal considerations, see Akerboom et al., 2021). Further, the Directive 2009/31/EC stipulates that when wells are sealed, operators remain legally responsible for their monitoring for 20 years. If an operator is unable to take the necessary corrective measures in the event of a leak, the responsibility passes to the "competent authority". Public authorities would thus find themselves assuming the obligation to manage possible failures without having access to the relevant information or possessing the appropriate technical expertise. Moreover, if the leak would turn out to be massive, CCS could represent a danger to populations and even lose all environmental interest. Therefore, the definition of a regulatory framework providing the right incentives seems difficult to establish, particularly as the detrimental effects of a massive leak would be global by nature with potentially unlimited litigants. Enforcement through corrective measures and penalties in such a case are also difficult to conceptualize. This possibility would render its environmental impact enormous and its efficiency negative. Also, despite being presented as an essential tool for decarbonization, the “current pace of CCS deployment is out of step with Paris ambitions […] and is </w:t>
      </w:r>
      <w:r w:rsidR="00A16B70">
        <w:rPr>
          <w:rFonts w:asciiTheme="majorBidi" w:hAnsiTheme="majorBidi" w:cstheme="majorBidi"/>
          <w:sz w:val="24"/>
          <w:szCs w:val="24"/>
          <w:lang w:val="en-US"/>
        </w:rPr>
        <w:t>in</w:t>
      </w:r>
      <w:r w:rsidRPr="00D806D9">
        <w:rPr>
          <w:rFonts w:asciiTheme="majorBidi" w:hAnsiTheme="majorBidi" w:cstheme="majorBidi"/>
          <w:sz w:val="24"/>
          <w:szCs w:val="24"/>
          <w:lang w:val="en-US"/>
        </w:rPr>
        <w:t>consistent with a 2°C pathway, let alone one well below 2°C” (OECD/IEA, 2016, p.11). Moreover, e</w:t>
      </w:r>
      <w:r w:rsidRPr="00D806D9">
        <w:rPr>
          <w:rFonts w:asciiTheme="majorBidi" w:eastAsia="Times New Roman" w:hAnsiTheme="majorBidi" w:cstheme="majorBidi"/>
          <w:sz w:val="24"/>
          <w:szCs w:val="24"/>
          <w:lang w:val="en-US" w:eastAsia="fr-FR"/>
        </w:rPr>
        <w:t>lectrolysers technology bears the potential for a new dependency through metal supply</w:t>
      </w:r>
      <w:r w:rsidR="00957D5A">
        <w:rPr>
          <w:rFonts w:asciiTheme="majorBidi" w:eastAsia="Times New Roman" w:hAnsiTheme="majorBidi" w:cstheme="majorBidi"/>
          <w:sz w:val="24"/>
          <w:szCs w:val="24"/>
          <w:lang w:val="en-US" w:eastAsia="fr-FR"/>
        </w:rPr>
        <w:t>,</w:t>
      </w:r>
      <w:r w:rsidRPr="00D806D9">
        <w:rPr>
          <w:rFonts w:asciiTheme="majorBidi" w:eastAsia="Times New Roman" w:hAnsiTheme="majorBidi" w:cstheme="majorBidi"/>
          <w:sz w:val="24"/>
          <w:szCs w:val="24"/>
          <w:lang w:val="en-US" w:eastAsia="fr-FR"/>
        </w:rPr>
        <w:t xml:space="preserve"> which is exactly the kind of dynamic the RepowerEU plan is trying </w:t>
      </w:r>
      <w:r w:rsidR="006B0ADE">
        <w:rPr>
          <w:rFonts w:asciiTheme="majorBidi" w:eastAsia="Times New Roman" w:hAnsiTheme="majorBidi" w:cstheme="majorBidi"/>
          <w:sz w:val="24"/>
          <w:szCs w:val="24"/>
          <w:lang w:val="en-US" w:eastAsia="fr-FR"/>
        </w:rPr>
        <w:t xml:space="preserve">to </w:t>
      </w:r>
      <w:r w:rsidR="00A16B70">
        <w:rPr>
          <w:rFonts w:asciiTheme="majorBidi" w:eastAsia="Times New Roman" w:hAnsiTheme="majorBidi" w:cstheme="majorBidi"/>
          <w:sz w:val="24"/>
          <w:szCs w:val="24"/>
          <w:lang w:val="en-US" w:eastAsia="fr-FR"/>
        </w:rPr>
        <w:t>eliminate</w:t>
      </w:r>
      <w:r w:rsidRPr="00D806D9">
        <w:rPr>
          <w:rFonts w:asciiTheme="majorBidi" w:eastAsia="Times New Roman" w:hAnsiTheme="majorBidi" w:cstheme="majorBidi"/>
          <w:sz w:val="24"/>
          <w:szCs w:val="24"/>
          <w:lang w:val="en-US" w:eastAsia="fr-FR"/>
        </w:rPr>
        <w:t>.</w:t>
      </w:r>
    </w:p>
    <w:p w14:paraId="06BC86DF" w14:textId="15F98826" w:rsidR="007C5335" w:rsidRPr="00D806D9" w:rsidRDefault="007C5335" w:rsidP="00D806D9">
      <w:pPr>
        <w:spacing w:after="0" w:line="480" w:lineRule="auto"/>
        <w:jc w:val="both"/>
        <w:textAlignment w:val="baseline"/>
        <w:rPr>
          <w:rFonts w:asciiTheme="majorBidi" w:eastAsia="Times New Roman" w:hAnsiTheme="majorBidi" w:cstheme="majorBidi"/>
          <w:sz w:val="24"/>
          <w:szCs w:val="24"/>
          <w:lang w:val="en-US" w:eastAsia="fr-FR"/>
        </w:rPr>
      </w:pPr>
      <w:r w:rsidRPr="00D806D9">
        <w:rPr>
          <w:rFonts w:asciiTheme="majorBidi" w:eastAsia="Times New Roman" w:hAnsiTheme="majorBidi" w:cstheme="majorBidi"/>
          <w:sz w:val="24"/>
          <w:szCs w:val="24"/>
          <w:lang w:val="en-US" w:eastAsia="fr-FR"/>
        </w:rPr>
        <w:tab/>
        <w:t>Therefore</w:t>
      </w:r>
      <w:r w:rsidR="003C479F">
        <w:rPr>
          <w:rFonts w:asciiTheme="majorBidi" w:eastAsia="Times New Roman" w:hAnsiTheme="majorBidi" w:cstheme="majorBidi"/>
          <w:sz w:val="24"/>
          <w:szCs w:val="24"/>
          <w:lang w:val="en-US" w:eastAsia="fr-FR"/>
        </w:rPr>
        <w:t>,</w:t>
      </w:r>
      <w:r w:rsidRPr="00D806D9">
        <w:rPr>
          <w:rFonts w:asciiTheme="majorBidi" w:eastAsia="Times New Roman" w:hAnsiTheme="majorBidi" w:cstheme="majorBidi"/>
          <w:sz w:val="24"/>
          <w:szCs w:val="24"/>
          <w:lang w:val="en-US" w:eastAsia="fr-FR"/>
        </w:rPr>
        <w:t xml:space="preserve"> secondly, impelled by the Ukraine war, EC’s full support to LCH questions the motives behind this decision. The EU is the more advanced bloc on the related technologies and has shown its clear interest </w:t>
      </w:r>
      <w:r w:rsidR="008F069A">
        <w:rPr>
          <w:rFonts w:asciiTheme="majorBidi" w:eastAsia="Times New Roman" w:hAnsiTheme="majorBidi" w:cstheme="majorBidi"/>
          <w:sz w:val="24"/>
          <w:szCs w:val="24"/>
          <w:lang w:val="en-US" w:eastAsia="fr-FR"/>
        </w:rPr>
        <w:t>in</w:t>
      </w:r>
      <w:r w:rsidRPr="00D806D9">
        <w:rPr>
          <w:rFonts w:asciiTheme="majorBidi" w:eastAsia="Times New Roman" w:hAnsiTheme="majorBidi" w:cstheme="majorBidi"/>
          <w:sz w:val="24"/>
          <w:szCs w:val="24"/>
          <w:lang w:val="en-US" w:eastAsia="fr-FR"/>
        </w:rPr>
        <w:t xml:space="preserve"> </w:t>
      </w:r>
      <w:r w:rsidR="0041566E" w:rsidRPr="00D806D9">
        <w:rPr>
          <w:rFonts w:asciiTheme="majorBidi" w:eastAsia="Times New Roman" w:hAnsiTheme="majorBidi" w:cstheme="majorBidi"/>
          <w:sz w:val="24"/>
          <w:szCs w:val="24"/>
          <w:lang w:val="en-US" w:eastAsia="fr-FR"/>
        </w:rPr>
        <w:t>develop</w:t>
      </w:r>
      <w:r w:rsidR="0041566E">
        <w:rPr>
          <w:rFonts w:asciiTheme="majorBidi" w:eastAsia="Times New Roman" w:hAnsiTheme="majorBidi" w:cstheme="majorBidi"/>
          <w:sz w:val="24"/>
          <w:szCs w:val="24"/>
          <w:lang w:val="en-US" w:eastAsia="fr-FR"/>
        </w:rPr>
        <w:t>ing</w:t>
      </w:r>
      <w:r w:rsidRPr="00D806D9">
        <w:rPr>
          <w:rFonts w:asciiTheme="majorBidi" w:eastAsia="Times New Roman" w:hAnsiTheme="majorBidi" w:cstheme="majorBidi"/>
          <w:sz w:val="24"/>
          <w:szCs w:val="24"/>
          <w:lang w:val="en-US" w:eastAsia="fr-FR"/>
        </w:rPr>
        <w:t xml:space="preserve"> a new industrial sector </w:t>
      </w:r>
      <w:r w:rsidRPr="00D806D9">
        <w:rPr>
          <w:rFonts w:asciiTheme="majorBidi" w:eastAsia="Times New Roman" w:hAnsiTheme="majorBidi" w:cstheme="majorBidi"/>
          <w:sz w:val="24"/>
          <w:szCs w:val="24"/>
          <w:lang w:val="en-US" w:eastAsia="fr-FR"/>
        </w:rPr>
        <w:lastRenderedPageBreak/>
        <w:t>that would give it energetic independence and security. The experience of PV production delocalized almost entirely to China has left its mark. Therefore, the acquisition of a first mover advantage within what is already called a global LCH race (</w:t>
      </w:r>
      <w:r w:rsidRPr="00D806D9">
        <w:rPr>
          <w:rFonts w:asciiTheme="majorBidi" w:eastAsia="Times New Roman" w:hAnsiTheme="majorBidi" w:cstheme="majorBidi"/>
          <w:sz w:val="24"/>
          <w:szCs w:val="24"/>
          <w:lang w:val="en-US" w:eastAsia="fr-FR" w:bidi="he-IL"/>
        </w:rPr>
        <w:t>Van de Graaf, 2021</w:t>
      </w:r>
      <w:r w:rsidR="004559B4" w:rsidRPr="00D806D9">
        <w:rPr>
          <w:rFonts w:asciiTheme="majorBidi" w:eastAsia="Times New Roman" w:hAnsiTheme="majorBidi" w:cstheme="majorBidi"/>
          <w:sz w:val="24"/>
          <w:szCs w:val="24"/>
          <w:lang w:val="en-US" w:eastAsia="fr-FR" w:bidi="he-IL"/>
        </w:rPr>
        <w:t>; IRENA, 2022b</w:t>
      </w:r>
      <w:r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rPr>
        <w:t xml:space="preserve"> </w:t>
      </w:r>
      <w:r w:rsidR="006B0ADE">
        <w:rPr>
          <w:rFonts w:asciiTheme="majorBidi" w:eastAsia="Times New Roman" w:hAnsiTheme="majorBidi" w:cstheme="majorBidi"/>
          <w:sz w:val="24"/>
          <w:szCs w:val="24"/>
          <w:lang w:val="en-US" w:eastAsia="fr-FR"/>
        </w:rPr>
        <w:t>seems</w:t>
      </w:r>
      <w:r w:rsidRPr="00D806D9">
        <w:rPr>
          <w:rFonts w:asciiTheme="majorBidi" w:eastAsia="Times New Roman" w:hAnsiTheme="majorBidi" w:cstheme="majorBidi"/>
          <w:sz w:val="24"/>
          <w:szCs w:val="24"/>
          <w:lang w:val="en-US" w:eastAsia="fr-FR"/>
        </w:rPr>
        <w:t xml:space="preserve"> at least as much important in the RepowerEU announcement </w:t>
      </w:r>
      <w:r w:rsidR="006B0ADE">
        <w:rPr>
          <w:rFonts w:asciiTheme="majorBidi" w:eastAsia="Times New Roman" w:hAnsiTheme="majorBidi" w:cstheme="majorBidi"/>
          <w:sz w:val="24"/>
          <w:szCs w:val="24"/>
          <w:lang w:val="en-US" w:eastAsia="fr-FR"/>
        </w:rPr>
        <w:t>as</w:t>
      </w:r>
      <w:r w:rsidRPr="00D806D9">
        <w:rPr>
          <w:rFonts w:asciiTheme="majorBidi" w:eastAsia="Times New Roman" w:hAnsiTheme="majorBidi" w:cstheme="majorBidi"/>
          <w:sz w:val="24"/>
          <w:szCs w:val="24"/>
          <w:lang w:val="en-US" w:eastAsia="fr-FR"/>
        </w:rPr>
        <w:t xml:space="preserve"> innovation and energy supply securitization. It seems clear that the objectives envisioned by the EC are not focusing on environmental efficiency. Incorporating geopolitical consideration</w:t>
      </w:r>
      <w:r w:rsidR="008F069A">
        <w:rPr>
          <w:rFonts w:asciiTheme="majorBidi" w:eastAsia="Times New Roman" w:hAnsiTheme="majorBidi" w:cstheme="majorBidi"/>
          <w:sz w:val="24"/>
          <w:szCs w:val="24"/>
          <w:lang w:val="en-US" w:eastAsia="fr-FR"/>
        </w:rPr>
        <w:t>s</w:t>
      </w:r>
      <w:r w:rsidRPr="00D806D9">
        <w:rPr>
          <w:rFonts w:asciiTheme="majorBidi" w:eastAsia="Times New Roman" w:hAnsiTheme="majorBidi" w:cstheme="majorBidi"/>
          <w:sz w:val="24"/>
          <w:szCs w:val="24"/>
          <w:lang w:val="en-US" w:eastAsia="fr-FR"/>
        </w:rPr>
        <w:t xml:space="preserve"> for both energy supply security and sovereignty </w:t>
      </w:r>
      <w:r w:rsidR="006B0ADE">
        <w:rPr>
          <w:rFonts w:asciiTheme="majorBidi" w:eastAsia="Times New Roman" w:hAnsiTheme="majorBidi" w:cstheme="majorBidi"/>
          <w:sz w:val="24"/>
          <w:szCs w:val="24"/>
          <w:lang w:val="en-US" w:eastAsia="fr-FR"/>
        </w:rPr>
        <w:t>appears</w:t>
      </w:r>
      <w:r w:rsidRPr="00D806D9">
        <w:rPr>
          <w:rFonts w:asciiTheme="majorBidi" w:eastAsia="Times New Roman" w:hAnsiTheme="majorBidi" w:cstheme="majorBidi"/>
          <w:sz w:val="24"/>
          <w:szCs w:val="24"/>
          <w:lang w:val="en-US" w:eastAsia="fr-FR"/>
        </w:rPr>
        <w:t xml:space="preserve"> to contradict its sustainability goal, i.e. PA climate commitments, in an “impossible energy trinity” (Thaler &amp; Hofmann, 2022). Moreover, </w:t>
      </w:r>
      <w:r w:rsidR="006B0ADE">
        <w:rPr>
          <w:rFonts w:asciiTheme="majorBidi" w:eastAsia="Times New Roman" w:hAnsiTheme="majorBidi" w:cstheme="majorBidi"/>
          <w:sz w:val="24"/>
          <w:szCs w:val="24"/>
          <w:lang w:val="en-US" w:eastAsia="fr-FR"/>
        </w:rPr>
        <w:t>a</w:t>
      </w:r>
      <w:r w:rsidRPr="00D806D9">
        <w:rPr>
          <w:rFonts w:asciiTheme="majorBidi" w:eastAsia="Times New Roman" w:hAnsiTheme="majorBidi" w:cstheme="majorBidi"/>
          <w:sz w:val="24"/>
          <w:szCs w:val="24"/>
          <w:lang w:val="en-US" w:eastAsia="fr-FR"/>
        </w:rPr>
        <w:t xml:space="preserve"> Harvard study (</w:t>
      </w:r>
      <w:proofErr w:type="spellStart"/>
      <w:r w:rsidR="00CE00B7" w:rsidRPr="00D806D9">
        <w:rPr>
          <w:rFonts w:asciiTheme="majorBidi" w:eastAsia="Times New Roman" w:hAnsiTheme="majorBidi" w:cstheme="majorBidi"/>
          <w:sz w:val="24"/>
          <w:szCs w:val="24"/>
          <w:lang w:val="en-US" w:eastAsia="fr-FR"/>
        </w:rPr>
        <w:t>Nu</w:t>
      </w:r>
      <w:r w:rsidR="00CE00B7" w:rsidRPr="00D806D9">
        <w:rPr>
          <w:rFonts w:asciiTheme="majorBidi" w:eastAsia="Times New Roman" w:hAnsiTheme="majorBidi" w:cstheme="majorBidi"/>
          <w:sz w:val="24"/>
          <w:szCs w:val="24"/>
          <w:lang w:val="en-US" w:eastAsia="fr-FR" w:bidi="he-IL"/>
        </w:rPr>
        <w:t>ñ</w:t>
      </w:r>
      <w:r w:rsidR="00CE00B7" w:rsidRPr="00D806D9">
        <w:rPr>
          <w:rFonts w:asciiTheme="majorBidi" w:eastAsia="Times New Roman" w:hAnsiTheme="majorBidi" w:cstheme="majorBidi"/>
          <w:sz w:val="24"/>
          <w:szCs w:val="24"/>
          <w:lang w:val="en-US" w:eastAsia="fr-FR"/>
        </w:rPr>
        <w:t>ez</w:t>
      </w:r>
      <w:proofErr w:type="spellEnd"/>
      <w:r w:rsidR="00CE00B7" w:rsidRPr="00D806D9">
        <w:rPr>
          <w:rFonts w:asciiTheme="majorBidi" w:eastAsia="Times New Roman" w:hAnsiTheme="majorBidi" w:cstheme="majorBidi"/>
          <w:sz w:val="24"/>
          <w:szCs w:val="24"/>
          <w:lang w:val="en-US" w:eastAsia="fr-FR"/>
        </w:rPr>
        <w:t>-</w:t>
      </w:r>
      <w:r w:rsidRPr="00D806D9">
        <w:rPr>
          <w:rFonts w:asciiTheme="majorBidi" w:eastAsia="Times New Roman" w:hAnsiTheme="majorBidi" w:cstheme="majorBidi"/>
          <w:sz w:val="24"/>
          <w:szCs w:val="24"/>
          <w:lang w:val="en-US" w:eastAsia="fr-FR"/>
        </w:rPr>
        <w:t xml:space="preserve">Jimenez &amp; De Blasio, 2022) has shown that importing LCH would be cheaper for the EU than producing it </w:t>
      </w:r>
      <w:r w:rsidR="008F069A">
        <w:rPr>
          <w:rFonts w:asciiTheme="majorBidi" w:eastAsia="Times New Roman" w:hAnsiTheme="majorBidi" w:cstheme="majorBidi"/>
          <w:sz w:val="24"/>
          <w:szCs w:val="24"/>
          <w:lang w:val="en-US" w:eastAsia="fr-FR"/>
        </w:rPr>
        <w:t>eventually</w:t>
      </w:r>
      <w:r w:rsidRPr="00D806D9">
        <w:rPr>
          <w:rFonts w:asciiTheme="majorBidi" w:eastAsia="Times New Roman" w:hAnsiTheme="majorBidi" w:cstheme="majorBidi"/>
          <w:sz w:val="24"/>
          <w:szCs w:val="24"/>
          <w:lang w:val="en-US" w:eastAsia="fr-FR"/>
        </w:rPr>
        <w:t>.</w:t>
      </w:r>
    </w:p>
    <w:p w14:paraId="098EBC75" w14:textId="77777777" w:rsidR="007C5335" w:rsidRPr="00D806D9" w:rsidRDefault="007C5335" w:rsidP="00D806D9">
      <w:pPr>
        <w:spacing w:after="0" w:line="480" w:lineRule="auto"/>
        <w:jc w:val="both"/>
        <w:textAlignment w:val="baseline"/>
        <w:rPr>
          <w:rFonts w:asciiTheme="majorBidi" w:eastAsia="Times New Roman" w:hAnsiTheme="majorBidi" w:cstheme="majorBidi"/>
          <w:sz w:val="24"/>
          <w:szCs w:val="24"/>
          <w:lang w:val="en-US" w:eastAsia="fr-FR"/>
        </w:rPr>
      </w:pPr>
    </w:p>
    <w:p w14:paraId="43E084C2" w14:textId="77777777" w:rsidR="007C5335" w:rsidRPr="00D806D9" w:rsidRDefault="007C5335" w:rsidP="00D806D9">
      <w:pPr>
        <w:spacing w:after="0" w:line="480" w:lineRule="auto"/>
        <w:ind w:firstLine="708"/>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t>5.2.</w:t>
      </w:r>
      <w:r w:rsidRPr="00D806D9">
        <w:rPr>
          <w:rFonts w:asciiTheme="majorBidi" w:hAnsiTheme="majorBidi" w:cstheme="majorBidi"/>
          <w:b/>
          <w:bCs/>
          <w:sz w:val="24"/>
          <w:szCs w:val="24"/>
          <w:lang w:val="en-US"/>
        </w:rPr>
        <w:tab/>
        <w:t>CCfD: a misled and counter-productive instrument</w:t>
      </w:r>
    </w:p>
    <w:p w14:paraId="1751DF6B" w14:textId="77777777" w:rsidR="007C5335" w:rsidRPr="00D806D9" w:rsidRDefault="007C5335" w:rsidP="00D806D9">
      <w:pPr>
        <w:spacing w:after="0" w:line="480" w:lineRule="auto"/>
        <w:jc w:val="both"/>
        <w:textAlignment w:val="baseline"/>
        <w:rPr>
          <w:rFonts w:asciiTheme="majorBidi" w:hAnsiTheme="majorBidi" w:cstheme="majorBidi"/>
          <w:b/>
          <w:bCs/>
          <w:sz w:val="24"/>
          <w:szCs w:val="24"/>
          <w:lang w:val="en-US"/>
        </w:rPr>
      </w:pPr>
    </w:p>
    <w:p w14:paraId="3AF4D6A6" w14:textId="77777777" w:rsidR="007C5335" w:rsidRPr="00D806D9" w:rsidRDefault="007C5335" w:rsidP="00D806D9">
      <w:pPr>
        <w:spacing w:after="0" w:line="480" w:lineRule="auto"/>
        <w:jc w:val="both"/>
        <w:textAlignment w:val="baseline"/>
        <w:rPr>
          <w:rFonts w:asciiTheme="majorBidi" w:eastAsia="Times New Roman" w:hAnsiTheme="majorBidi" w:cstheme="majorBidi"/>
          <w:sz w:val="24"/>
          <w:szCs w:val="24"/>
          <w:lang w:val="en-US" w:eastAsia="fr-FR"/>
        </w:rPr>
      </w:pPr>
      <w:r w:rsidRPr="00D806D9">
        <w:rPr>
          <w:rFonts w:asciiTheme="majorBidi" w:eastAsia="Times New Roman" w:hAnsiTheme="majorBidi" w:cstheme="majorBidi"/>
          <w:sz w:val="24"/>
          <w:szCs w:val="24"/>
          <w:lang w:val="en-US" w:eastAsia="fr-FR"/>
        </w:rPr>
        <w:tab/>
        <w:t>CCfD could be an ambiguous policy signal and represent significant costs for the EU. Also, being a regulatory tool, its contractual features within the EU-ETS framework could create a specific type of “self-regulatory capture”.</w:t>
      </w:r>
    </w:p>
    <w:p w14:paraId="5DDB82C8" w14:textId="77777777" w:rsidR="007C5335" w:rsidRPr="00D806D9" w:rsidRDefault="007C5335" w:rsidP="00D806D9">
      <w:pPr>
        <w:spacing w:after="0" w:line="480" w:lineRule="auto"/>
        <w:jc w:val="both"/>
        <w:textAlignment w:val="baseline"/>
        <w:rPr>
          <w:rFonts w:asciiTheme="majorBidi" w:hAnsiTheme="majorBidi" w:cstheme="majorBidi"/>
          <w:b/>
          <w:bCs/>
          <w:sz w:val="24"/>
          <w:szCs w:val="24"/>
          <w:lang w:val="en-US"/>
        </w:rPr>
      </w:pPr>
    </w:p>
    <w:p w14:paraId="493522C0" w14:textId="77777777" w:rsidR="007C5335" w:rsidRPr="00D806D9" w:rsidRDefault="007C5335" w:rsidP="00D806D9">
      <w:pPr>
        <w:spacing w:after="0" w:line="480" w:lineRule="auto"/>
        <w:ind w:left="1413" w:hanging="705"/>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t>5.2.1.</w:t>
      </w:r>
      <w:r w:rsidRPr="00D806D9">
        <w:rPr>
          <w:rFonts w:asciiTheme="majorBidi" w:hAnsiTheme="majorBidi" w:cstheme="majorBidi"/>
          <w:b/>
          <w:bCs/>
          <w:sz w:val="24"/>
          <w:szCs w:val="24"/>
          <w:lang w:val="en-US"/>
        </w:rPr>
        <w:tab/>
        <w:t>CCFD as an uncertain budgetary commitment and policy incoherence</w:t>
      </w:r>
    </w:p>
    <w:p w14:paraId="1682EF67" w14:textId="77777777" w:rsidR="007C5335" w:rsidRPr="00D806D9" w:rsidRDefault="007C5335" w:rsidP="00D806D9">
      <w:pPr>
        <w:spacing w:after="0" w:line="480" w:lineRule="auto"/>
        <w:jc w:val="both"/>
        <w:rPr>
          <w:rFonts w:asciiTheme="majorBidi" w:hAnsiTheme="majorBidi" w:cstheme="majorBidi"/>
          <w:b/>
          <w:bCs/>
          <w:sz w:val="24"/>
          <w:szCs w:val="24"/>
          <w:lang w:val="en-US"/>
        </w:rPr>
      </w:pPr>
    </w:p>
    <w:p w14:paraId="3826F91E" w14:textId="3F7EB0DC" w:rsidR="007C5335" w:rsidRPr="00D806D9" w:rsidRDefault="007C5335"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sz w:val="24"/>
          <w:szCs w:val="24"/>
          <w:lang w:val="en-US" w:eastAsia="fr-FR"/>
        </w:rPr>
        <w:t>Carbon pricing is both central and critical for CCfD and EU climate policy. CCfD would represent a budgetary exposure for public authorities as a consequence of the</w:t>
      </w:r>
      <w:r w:rsidRPr="00D806D9">
        <w:rPr>
          <w:rFonts w:asciiTheme="majorBidi" w:eastAsia="Times New Roman" w:hAnsiTheme="majorBidi" w:cstheme="majorBidi"/>
          <w:color w:val="000000"/>
          <w:sz w:val="24"/>
          <w:szCs w:val="24"/>
          <w:lang w:val="en-US" w:eastAsia="fr-FR" w:bidi="he-IL"/>
        </w:rPr>
        <w:t xml:space="preserve"> insurance mechanism it entails. Both the literature and the EC have provided targeted scopes for its use </w:t>
      </w:r>
      <w:r w:rsidR="00B42ECC">
        <w:rPr>
          <w:rFonts w:asciiTheme="majorBidi" w:eastAsia="Times New Roman" w:hAnsiTheme="majorBidi" w:cstheme="majorBidi"/>
          <w:color w:val="000000"/>
          <w:sz w:val="24"/>
          <w:szCs w:val="24"/>
          <w:lang w:val="en-US" w:eastAsia="fr-FR" w:bidi="he-IL"/>
        </w:rPr>
        <w:t>that</w:t>
      </w:r>
      <w:r w:rsidRPr="00D806D9">
        <w:rPr>
          <w:rFonts w:asciiTheme="majorBidi" w:eastAsia="Times New Roman" w:hAnsiTheme="majorBidi" w:cstheme="majorBidi"/>
          <w:color w:val="000000"/>
          <w:sz w:val="24"/>
          <w:szCs w:val="24"/>
          <w:lang w:val="en-US" w:eastAsia="fr-FR" w:bidi="he-IL"/>
        </w:rPr>
        <w:t xml:space="preserve"> would limit this exposure, mainly related to first-of-a-kind LCH production for hard-to-abate industries. Nevertheless, the massive energy switch required </w:t>
      </w:r>
      <w:r w:rsidRPr="00D806D9">
        <w:rPr>
          <w:rFonts w:asciiTheme="majorBidi" w:eastAsia="Times New Roman" w:hAnsiTheme="majorBidi" w:cstheme="majorBidi"/>
          <w:color w:val="000000"/>
          <w:sz w:val="24"/>
          <w:szCs w:val="24"/>
          <w:lang w:val="en-US" w:eastAsia="fr-FR" w:bidi="he-IL"/>
        </w:rPr>
        <w:lastRenderedPageBreak/>
        <w:t xml:space="preserve">by both the EU climate ambitions and the Russian gas supply cut would undoubtfully create a multiplication of projects within this limited scope. Besides, </w:t>
      </w:r>
      <w:r w:rsidR="006B0ADE">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projects </w:t>
      </w:r>
      <w:r w:rsidR="006B0ADE">
        <w:rPr>
          <w:rFonts w:asciiTheme="majorBidi" w:eastAsia="Times New Roman" w:hAnsiTheme="majorBidi" w:cstheme="majorBidi"/>
          <w:color w:val="000000"/>
          <w:sz w:val="24"/>
          <w:szCs w:val="24"/>
          <w:lang w:val="en-US" w:eastAsia="fr-FR" w:bidi="he-IL"/>
        </w:rPr>
        <w:t>count</w:t>
      </w:r>
      <w:r w:rsidRPr="00D806D9">
        <w:rPr>
          <w:rFonts w:asciiTheme="majorBidi" w:eastAsia="Times New Roman" w:hAnsiTheme="majorBidi" w:cstheme="majorBidi"/>
          <w:color w:val="000000"/>
          <w:sz w:val="24"/>
          <w:szCs w:val="24"/>
          <w:lang w:val="en-US" w:eastAsia="fr-FR" w:bidi="he-IL"/>
        </w:rPr>
        <w:t xml:space="preserve"> would increase quickly as invest</w:t>
      </w:r>
      <w:r w:rsidR="006B0ADE">
        <w:rPr>
          <w:rFonts w:asciiTheme="majorBidi" w:eastAsia="Times New Roman" w:hAnsiTheme="majorBidi" w:cstheme="majorBidi"/>
          <w:color w:val="000000"/>
          <w:sz w:val="24"/>
          <w:szCs w:val="24"/>
          <w:lang w:val="en-US" w:eastAsia="fr-FR" w:bidi="he-IL"/>
        </w:rPr>
        <w:t>ing</w:t>
      </w:r>
      <w:r w:rsidRPr="00D806D9">
        <w:rPr>
          <w:rFonts w:asciiTheme="majorBidi" w:eastAsia="Times New Roman" w:hAnsiTheme="majorBidi" w:cstheme="majorBidi"/>
          <w:color w:val="000000"/>
          <w:sz w:val="24"/>
          <w:szCs w:val="24"/>
          <w:lang w:val="en-US" w:eastAsia="fr-FR" w:bidi="he-IL"/>
        </w:rPr>
        <w:t xml:space="preserve"> is the very purpose of this instrument. Both elements would mechanically and proportionally augment the public exposure, the EC mentioning that to solely decarbonize the EU primary steel production 18 to 20 billion euros will be required before 2030 (EC, 2022p, p.9) giving an OoM of the financial commitments required for the entire EU economy. </w:t>
      </w:r>
      <w:r w:rsidR="002E7DD6">
        <w:rPr>
          <w:rFonts w:asciiTheme="majorBidi" w:eastAsia="Times New Roman" w:hAnsiTheme="majorBidi" w:cstheme="majorBidi"/>
          <w:color w:val="000000"/>
          <w:sz w:val="24"/>
          <w:szCs w:val="24"/>
          <w:lang w:val="en-US" w:eastAsia="fr-FR" w:bidi="he-IL"/>
        </w:rPr>
        <w:t>A</w:t>
      </w:r>
      <w:r w:rsidRPr="00D806D9">
        <w:rPr>
          <w:rFonts w:asciiTheme="majorBidi" w:eastAsia="Times New Roman" w:hAnsiTheme="majorBidi" w:cstheme="majorBidi"/>
          <w:color w:val="000000"/>
          <w:sz w:val="24"/>
          <w:szCs w:val="24"/>
          <w:lang w:val="en-US" w:eastAsia="fr-FR" w:bidi="he-IL"/>
        </w:rPr>
        <w:t>ddition</w:t>
      </w:r>
      <w:r w:rsidR="002E7DD6">
        <w:rPr>
          <w:rFonts w:asciiTheme="majorBidi" w:eastAsia="Times New Roman" w:hAnsiTheme="majorBidi" w:cstheme="majorBidi"/>
          <w:color w:val="000000"/>
          <w:sz w:val="24"/>
          <w:szCs w:val="24"/>
          <w:lang w:val="en-US" w:eastAsia="fr-FR" w:bidi="he-IL"/>
        </w:rPr>
        <w:t>ally</w:t>
      </w:r>
      <w:r w:rsidRPr="00D806D9">
        <w:rPr>
          <w:rFonts w:asciiTheme="majorBidi" w:eastAsia="Times New Roman" w:hAnsiTheme="majorBidi" w:cstheme="majorBidi"/>
          <w:color w:val="000000"/>
          <w:sz w:val="24"/>
          <w:szCs w:val="24"/>
          <w:lang w:val="en-US" w:eastAsia="fr-FR" w:bidi="he-IL"/>
        </w:rPr>
        <w:t xml:space="preserve">, the innovative process is inherently uncertain. These projects would have therefore difficulties </w:t>
      </w:r>
      <w:r w:rsidR="00B97E45">
        <w:rPr>
          <w:rFonts w:asciiTheme="majorBidi" w:eastAsia="Times New Roman" w:hAnsiTheme="majorBidi" w:cstheme="majorBidi"/>
          <w:color w:val="000000"/>
          <w:sz w:val="24"/>
          <w:szCs w:val="24"/>
          <w:lang w:val="en-US" w:eastAsia="fr-FR" w:bidi="he-IL"/>
        </w:rPr>
        <w:t>doing financial</w:t>
      </w:r>
      <w:r w:rsidRPr="00D806D9">
        <w:rPr>
          <w:rFonts w:asciiTheme="majorBidi" w:eastAsia="Times New Roman" w:hAnsiTheme="majorBidi" w:cstheme="majorBidi"/>
          <w:color w:val="000000"/>
          <w:sz w:val="24"/>
          <w:szCs w:val="24"/>
          <w:lang w:val="en-US" w:eastAsia="fr-FR" w:bidi="he-IL"/>
        </w:rPr>
        <w:t xml:space="preserve"> forecast</w:t>
      </w:r>
      <w:r w:rsidR="00B97E45">
        <w:rPr>
          <w:rFonts w:asciiTheme="majorBidi" w:eastAsia="Times New Roman" w:hAnsiTheme="majorBidi" w:cstheme="majorBidi"/>
          <w:color w:val="000000"/>
          <w:sz w:val="24"/>
          <w:szCs w:val="24"/>
          <w:lang w:val="en-US" w:eastAsia="fr-FR" w:bidi="he-IL"/>
        </w:rPr>
        <w:t>s</w:t>
      </w:r>
      <w:r w:rsidRPr="00D806D9">
        <w:rPr>
          <w:rFonts w:asciiTheme="majorBidi" w:eastAsia="Times New Roman" w:hAnsiTheme="majorBidi" w:cstheme="majorBidi"/>
          <w:color w:val="000000"/>
          <w:sz w:val="24"/>
          <w:szCs w:val="24"/>
          <w:lang w:val="en-US" w:eastAsia="fr-FR" w:bidi="he-IL"/>
        </w:rPr>
        <w:t xml:space="preserve"> </w:t>
      </w:r>
      <w:r w:rsidR="00B97E45">
        <w:rPr>
          <w:rFonts w:asciiTheme="majorBidi" w:eastAsia="Times New Roman" w:hAnsiTheme="majorBidi" w:cstheme="majorBidi"/>
          <w:color w:val="000000"/>
          <w:sz w:val="24"/>
          <w:szCs w:val="24"/>
          <w:lang w:val="en-US" w:eastAsia="fr-FR" w:bidi="he-IL"/>
        </w:rPr>
        <w:t>on their costs</w:t>
      </w:r>
      <w:r w:rsidRPr="00D806D9">
        <w:rPr>
          <w:rFonts w:asciiTheme="majorBidi" w:eastAsia="Times New Roman" w:hAnsiTheme="majorBidi" w:cstheme="majorBidi"/>
          <w:color w:val="000000"/>
          <w:sz w:val="24"/>
          <w:szCs w:val="24"/>
          <w:lang w:val="en-US" w:eastAsia="fr-FR" w:bidi="he-IL"/>
        </w:rPr>
        <w:t xml:space="preserve">, most probably underestimating them, </w:t>
      </w:r>
      <w:r w:rsidR="00B97E45">
        <w:rPr>
          <w:rFonts w:asciiTheme="majorBidi" w:eastAsia="Times New Roman" w:hAnsiTheme="majorBidi" w:cstheme="majorBidi"/>
          <w:color w:val="000000"/>
          <w:sz w:val="24"/>
          <w:szCs w:val="24"/>
          <w:lang w:val="en-US" w:eastAsia="fr-FR" w:bidi="he-IL"/>
        </w:rPr>
        <w:t>an element</w:t>
      </w:r>
      <w:r w:rsidRPr="00D806D9">
        <w:rPr>
          <w:rFonts w:asciiTheme="majorBidi" w:eastAsia="Times New Roman" w:hAnsiTheme="majorBidi" w:cstheme="majorBidi"/>
          <w:color w:val="000000"/>
          <w:sz w:val="24"/>
          <w:szCs w:val="24"/>
          <w:lang w:val="en-US" w:eastAsia="fr-FR" w:bidi="he-IL"/>
        </w:rPr>
        <w:t xml:space="preserve"> that could see their actual investment costs rise dramatically </w:t>
      </w:r>
      <w:r w:rsidR="00750EEB">
        <w:rPr>
          <w:rFonts w:asciiTheme="majorBidi" w:eastAsia="Times New Roman" w:hAnsiTheme="majorBidi" w:cstheme="majorBidi"/>
          <w:color w:val="000000"/>
          <w:sz w:val="24"/>
          <w:szCs w:val="24"/>
          <w:lang w:val="en-US" w:eastAsia="fr-FR" w:bidi="he-IL"/>
        </w:rPr>
        <w:t>over time</w:t>
      </w:r>
      <w:r w:rsidRPr="00D806D9">
        <w:rPr>
          <w:rFonts w:asciiTheme="majorBidi" w:eastAsia="Times New Roman" w:hAnsiTheme="majorBidi" w:cstheme="majorBidi"/>
          <w:color w:val="000000"/>
          <w:sz w:val="24"/>
          <w:szCs w:val="24"/>
          <w:lang w:val="en-US" w:eastAsia="fr-FR" w:bidi="he-IL"/>
        </w:rPr>
        <w:t xml:space="preserve">, potentially further exposing public authorities. Moreover, estimations of CCfD cost for the public budgets so far have been conducted compared to EUA price previous trend, </w:t>
      </w:r>
      <w:r w:rsidR="00750EEB">
        <w:rPr>
          <w:rFonts w:asciiTheme="majorBidi" w:eastAsia="Times New Roman" w:hAnsiTheme="majorBidi" w:cstheme="majorBidi"/>
          <w:color w:val="000000"/>
          <w:sz w:val="24"/>
          <w:szCs w:val="24"/>
          <w:lang w:val="en-US" w:eastAsia="fr-FR" w:bidi="he-IL"/>
        </w:rPr>
        <w:t>before</w:t>
      </w:r>
      <w:r w:rsidRPr="00D806D9">
        <w:rPr>
          <w:rFonts w:asciiTheme="majorBidi" w:eastAsia="Times New Roman" w:hAnsiTheme="majorBidi" w:cstheme="majorBidi"/>
          <w:color w:val="000000"/>
          <w:sz w:val="24"/>
          <w:szCs w:val="24"/>
          <w:lang w:val="en-US" w:eastAsia="fr-FR" w:bidi="he-IL"/>
        </w:rPr>
        <w:t xml:space="preserve"> July 2021. </w:t>
      </w:r>
      <w:r w:rsidR="008E3627">
        <w:rPr>
          <w:rFonts w:asciiTheme="majorBidi" w:eastAsia="Times New Roman" w:hAnsiTheme="majorBidi" w:cstheme="majorBidi"/>
          <w:color w:val="000000"/>
          <w:sz w:val="24"/>
          <w:szCs w:val="24"/>
          <w:lang w:val="en-US" w:eastAsia="fr-FR" w:bidi="he-IL"/>
        </w:rPr>
        <w:t>Although</w:t>
      </w:r>
      <w:r w:rsidRPr="00D806D9">
        <w:rPr>
          <w:rFonts w:asciiTheme="majorBidi" w:eastAsia="Times New Roman" w:hAnsiTheme="majorBidi" w:cstheme="majorBidi"/>
          <w:color w:val="000000"/>
          <w:sz w:val="24"/>
          <w:szCs w:val="24"/>
          <w:lang w:val="en-US" w:eastAsia="fr-FR" w:bidi="he-IL"/>
        </w:rPr>
        <w:t xml:space="preserve"> still low compared to </w:t>
      </w:r>
      <w:r w:rsidRPr="00750EEB">
        <w:rPr>
          <w:rFonts w:asciiTheme="majorBidi" w:eastAsia="Times New Roman" w:hAnsiTheme="majorBidi" w:cstheme="majorBidi"/>
          <w:color w:val="000000"/>
          <w:sz w:val="24"/>
          <w:szCs w:val="24"/>
          <w:lang w:val="en-US" w:eastAsia="fr-FR" w:bidi="he-IL"/>
        </w:rPr>
        <w:t xml:space="preserve">Germain and </w:t>
      </w:r>
      <w:proofErr w:type="spellStart"/>
      <w:r w:rsidRPr="00750EEB">
        <w:rPr>
          <w:rFonts w:asciiTheme="majorBidi" w:eastAsia="Times New Roman" w:hAnsiTheme="majorBidi" w:cstheme="majorBidi"/>
          <w:color w:val="000000"/>
          <w:sz w:val="24"/>
          <w:szCs w:val="24"/>
          <w:lang w:val="en-US" w:eastAsia="fr-FR" w:bidi="he-IL"/>
        </w:rPr>
        <w:t>Lellouch</w:t>
      </w:r>
      <w:proofErr w:type="spellEnd"/>
      <w:r w:rsidRPr="00750EEB">
        <w:rPr>
          <w:rFonts w:asciiTheme="majorBidi" w:eastAsia="Times New Roman" w:hAnsiTheme="majorBidi" w:cstheme="majorBidi"/>
          <w:color w:val="000000"/>
          <w:sz w:val="24"/>
          <w:szCs w:val="24"/>
          <w:lang w:val="en-US" w:eastAsia="fr-FR" w:bidi="he-IL"/>
        </w:rPr>
        <w:t xml:space="preserve"> (2020) </w:t>
      </w:r>
      <w:r w:rsidRPr="00D806D9">
        <w:rPr>
          <w:rFonts w:asciiTheme="majorBidi" w:eastAsia="Times New Roman" w:hAnsiTheme="majorBidi" w:cstheme="majorBidi"/>
          <w:color w:val="000000"/>
          <w:sz w:val="24"/>
          <w:szCs w:val="24"/>
          <w:lang w:val="en-US" w:eastAsia="fr-FR" w:bidi="he-IL"/>
        </w:rPr>
        <w:t xml:space="preserve">carbon social value estimates, this price increase demonstrates an evolution that could render CCfD useless. Additionally, the argument of CCfD supplementing EU-ETS regulatory risk as it would be considered </w:t>
      </w:r>
      <w:r w:rsidR="00195839">
        <w:rPr>
          <w:rFonts w:asciiTheme="majorBidi" w:eastAsia="Times New Roman" w:hAnsiTheme="majorBidi" w:cstheme="majorBidi"/>
          <w:color w:val="000000"/>
          <w:sz w:val="24"/>
          <w:szCs w:val="24"/>
          <w:lang w:val="en-US" w:eastAsia="fr-FR" w:bidi="he-IL"/>
        </w:rPr>
        <w:t>unstable</w:t>
      </w:r>
      <w:r w:rsidRPr="00D806D9">
        <w:rPr>
          <w:rFonts w:asciiTheme="majorBidi" w:eastAsia="Times New Roman" w:hAnsiTheme="majorBidi" w:cstheme="majorBidi"/>
          <w:color w:val="000000"/>
          <w:sz w:val="24"/>
          <w:szCs w:val="24"/>
          <w:lang w:val="en-US" w:eastAsia="fr-FR" w:bidi="he-IL"/>
        </w:rPr>
        <w:t xml:space="preserve"> is contradictory</w:t>
      </w:r>
      <w:r w:rsidR="00750EEB">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to say the least. Indeed, </w:t>
      </w:r>
      <w:r w:rsidRPr="00D806D9">
        <w:rPr>
          <w:rFonts w:asciiTheme="majorBidi" w:eastAsia="Times New Roman" w:hAnsiTheme="majorBidi" w:cstheme="majorBidi"/>
          <w:sz w:val="24"/>
          <w:szCs w:val="24"/>
          <w:lang w:val="en-US" w:eastAsia="fr-FR"/>
        </w:rPr>
        <w:t xml:space="preserve">creating a public insurance on the main EU climate policy would not prove to signal its ambitions clearly, the message sent being finally quite ambiguous. Finally, in a situation of economic recession and budget constrain, certain issues could arise. First, </w:t>
      </w:r>
      <w:r w:rsidRPr="00D806D9">
        <w:rPr>
          <w:rFonts w:asciiTheme="majorBidi" w:eastAsia="Times New Roman" w:hAnsiTheme="majorBidi" w:cstheme="majorBidi"/>
          <w:color w:val="000000"/>
          <w:sz w:val="24"/>
          <w:szCs w:val="24"/>
          <w:lang w:val="en-US" w:eastAsia="fr-FR" w:bidi="he-IL"/>
        </w:rPr>
        <w:t>governments could see an opportunity in using MSR’s allowances to pay potential CCfD fees to release some budgetary pressures. This could lead to undermining the EU-ETS functioning. Second, as we have seen, EUA price formation is not linear and if CCfD financial commitments would reduce “as the EU carbon price rises and low-carbon technologies become competitive without subsidy” (</w:t>
      </w:r>
      <w:r w:rsidRPr="00D806D9">
        <w:rPr>
          <w:rFonts w:asciiTheme="majorBidi" w:eastAsia="Times New Roman" w:hAnsiTheme="majorBidi" w:cstheme="majorBidi"/>
          <w:sz w:val="24"/>
          <w:szCs w:val="24"/>
          <w:lang w:val="en-US" w:eastAsia="fr-FR" w:bidi="he-IL"/>
        </w:rPr>
        <w:t xml:space="preserve">McWilliam &amp; </w:t>
      </w:r>
      <w:proofErr w:type="spellStart"/>
      <w:r w:rsidRPr="00D806D9">
        <w:rPr>
          <w:rFonts w:asciiTheme="majorBidi" w:eastAsia="Times New Roman" w:hAnsiTheme="majorBidi" w:cstheme="majorBidi"/>
          <w:sz w:val="24"/>
          <w:szCs w:val="24"/>
          <w:lang w:val="en-US" w:eastAsia="fr-FR" w:bidi="he-IL"/>
        </w:rPr>
        <w:t>Zachmann</w:t>
      </w:r>
      <w:proofErr w:type="spellEnd"/>
      <w:r w:rsidRPr="00D806D9">
        <w:rPr>
          <w:rFonts w:asciiTheme="majorBidi" w:eastAsia="Times New Roman" w:hAnsiTheme="majorBidi" w:cstheme="majorBidi"/>
          <w:sz w:val="24"/>
          <w:szCs w:val="24"/>
          <w:lang w:val="en-US" w:eastAsia="fr-FR" w:bidi="he-IL"/>
        </w:rPr>
        <w:t>, 2021, p.1)</w:t>
      </w:r>
      <w:r w:rsidRPr="00D806D9">
        <w:rPr>
          <w:rFonts w:asciiTheme="majorBidi" w:eastAsia="Times New Roman" w:hAnsiTheme="majorBidi" w:cstheme="majorBidi"/>
          <w:color w:val="000000"/>
          <w:sz w:val="24"/>
          <w:szCs w:val="24"/>
          <w:lang w:val="en-US" w:eastAsia="fr-FR" w:bidi="he-IL"/>
        </w:rPr>
        <w:t xml:space="preserve"> there is no automaticity as exogenous shocks could affect the EU-ETS.</w:t>
      </w:r>
    </w:p>
    <w:p w14:paraId="24A477FA" w14:textId="77777777" w:rsidR="007C5335" w:rsidRPr="00D806D9" w:rsidRDefault="007C5335" w:rsidP="00D806D9">
      <w:pPr>
        <w:spacing w:after="0" w:line="480" w:lineRule="auto"/>
        <w:ind w:left="1413" w:hanging="705"/>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lastRenderedPageBreak/>
        <w:t>5.2.2.</w:t>
      </w:r>
      <w:r w:rsidRPr="00D806D9">
        <w:rPr>
          <w:rFonts w:asciiTheme="majorBidi" w:hAnsiTheme="majorBidi" w:cstheme="majorBidi"/>
          <w:b/>
          <w:bCs/>
          <w:sz w:val="24"/>
          <w:szCs w:val="24"/>
          <w:lang w:val="en-US"/>
        </w:rPr>
        <w:tab/>
        <w:t>A regulation puzzle, potential source of a third type of regulatory capture?</w:t>
      </w:r>
    </w:p>
    <w:p w14:paraId="549B69CA" w14:textId="77777777" w:rsidR="007C5335" w:rsidRPr="00D806D9" w:rsidRDefault="007C5335" w:rsidP="00D806D9">
      <w:pPr>
        <w:spacing w:after="0" w:line="480" w:lineRule="auto"/>
        <w:jc w:val="both"/>
        <w:rPr>
          <w:rFonts w:asciiTheme="majorBidi" w:eastAsia="Times New Roman" w:hAnsiTheme="majorBidi" w:cstheme="majorBidi"/>
          <w:color w:val="000000"/>
          <w:sz w:val="24"/>
          <w:szCs w:val="24"/>
          <w:lang w:val="en-US" w:eastAsia="fr-FR" w:bidi="he-IL"/>
        </w:rPr>
      </w:pPr>
    </w:p>
    <w:p w14:paraId="69365E85" w14:textId="591B2B04" w:rsidR="007C5335" w:rsidRPr="00D806D9" w:rsidRDefault="007C5335"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 The implementation of CCfD could impact the regulator due to the interplay of the risk allocation, the EU-ETS’s functioning</w:t>
      </w:r>
      <w:r w:rsidR="0019583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and EUA price formation. To foster certainty within </w:t>
      </w:r>
      <w:r w:rsidR="007B4DDD">
        <w:rPr>
          <w:rFonts w:asciiTheme="majorBidi" w:eastAsia="Times New Roman" w:hAnsiTheme="majorBidi" w:cstheme="majorBidi"/>
          <w:color w:val="000000"/>
          <w:sz w:val="24"/>
          <w:szCs w:val="24"/>
          <w:lang w:val="en-US" w:eastAsia="fr-FR" w:bidi="he-IL"/>
        </w:rPr>
        <w:t>the c</w:t>
      </w:r>
      <w:r w:rsidRPr="00D806D9">
        <w:rPr>
          <w:rFonts w:asciiTheme="majorBidi" w:eastAsia="Times New Roman" w:hAnsiTheme="majorBidi" w:cstheme="majorBidi"/>
          <w:color w:val="000000"/>
          <w:sz w:val="24"/>
          <w:szCs w:val="24"/>
          <w:lang w:val="en-US" w:eastAsia="fr-FR" w:bidi="he-IL"/>
        </w:rPr>
        <w:t xml:space="preserve">arbon price, the regulator would be incentivized by the contract to ensure its application at the closest price possible to the strike price. Indeed, if the execution price </w:t>
      </w:r>
      <w:r w:rsidR="000206EE">
        <w:rPr>
          <w:rFonts w:asciiTheme="majorBidi" w:eastAsia="Times New Roman" w:hAnsiTheme="majorBidi" w:cstheme="majorBidi"/>
          <w:color w:val="000000"/>
          <w:sz w:val="24"/>
          <w:szCs w:val="24"/>
          <w:lang w:val="en-US" w:eastAsia="fr-FR" w:bidi="he-IL"/>
        </w:rPr>
        <w:t>is</w:t>
      </w:r>
      <w:r w:rsidRPr="00D806D9">
        <w:rPr>
          <w:rFonts w:asciiTheme="majorBidi" w:eastAsia="Times New Roman" w:hAnsiTheme="majorBidi" w:cstheme="majorBidi"/>
          <w:color w:val="000000"/>
          <w:sz w:val="24"/>
          <w:szCs w:val="24"/>
          <w:lang w:val="en-US" w:eastAsia="fr-FR" w:bidi="he-IL"/>
        </w:rPr>
        <w:t xml:space="preserve"> be too low, the government would have to assume </w:t>
      </w:r>
      <w:r w:rsidR="000206EE">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costs. Conversely, an execution too high would expose agents to costs that could potentially jeopardize the funded projects, which also goes against the government’s interest as its first goal is environmental efficiency. Therefore, the more exposed the public authority would be to shocks affecting the carbon market through CCfD, the less it would be incentivized to push the carbon price higher. If they are presented as a contractual mechanism being proportionate and balanced, CCfD are most surely one-sided due to the double role of the regulator as both party to the contract and </w:t>
      </w:r>
      <w:r w:rsidR="00195839">
        <w:rPr>
          <w:rFonts w:asciiTheme="majorBidi" w:eastAsia="Times New Roman" w:hAnsiTheme="majorBidi" w:cstheme="majorBidi"/>
          <w:color w:val="000000"/>
          <w:sz w:val="24"/>
          <w:szCs w:val="24"/>
          <w:lang w:val="en-US" w:eastAsia="fr-FR" w:bidi="he-IL"/>
        </w:rPr>
        <w:t xml:space="preserve">the </w:t>
      </w:r>
      <w:r w:rsidRPr="00D806D9">
        <w:rPr>
          <w:rFonts w:asciiTheme="majorBidi" w:eastAsia="Times New Roman" w:hAnsiTheme="majorBidi" w:cstheme="majorBidi"/>
          <w:color w:val="000000"/>
          <w:sz w:val="24"/>
          <w:szCs w:val="24"/>
          <w:lang w:val="en-US" w:eastAsia="fr-FR" w:bidi="he-IL"/>
        </w:rPr>
        <w:t xml:space="preserve">main driver of its pivotal element: EUA price. In this sense, CCfD would act as a sort of regulatory triple bind similar to the pressure described by Bateson </w:t>
      </w:r>
      <w:r w:rsidR="009F0261" w:rsidRPr="00D806D9">
        <w:rPr>
          <w:rFonts w:asciiTheme="majorBidi" w:eastAsia="Times New Roman" w:hAnsiTheme="majorBidi" w:cstheme="majorBidi"/>
          <w:color w:val="000000"/>
          <w:sz w:val="24"/>
          <w:szCs w:val="24"/>
          <w:lang w:val="en-US" w:eastAsia="fr-FR" w:bidi="he-IL"/>
        </w:rPr>
        <w:t xml:space="preserve">(1956) </w:t>
      </w:r>
      <w:r w:rsidRPr="00D806D9">
        <w:rPr>
          <w:rFonts w:asciiTheme="majorBidi" w:eastAsia="Times New Roman" w:hAnsiTheme="majorBidi" w:cstheme="majorBidi"/>
          <w:color w:val="000000"/>
          <w:sz w:val="24"/>
          <w:szCs w:val="24"/>
          <w:lang w:val="en-US" w:eastAsia="fr-FR" w:bidi="he-IL"/>
        </w:rPr>
        <w:t>for schizophrenia between:</w:t>
      </w:r>
    </w:p>
    <w:p w14:paraId="65D502FC" w14:textId="77777777" w:rsidR="007C5335" w:rsidRPr="00D806D9" w:rsidRDefault="007C5335" w:rsidP="00D806D9">
      <w:pPr>
        <w:pStyle w:val="ListParagraph"/>
        <w:numPr>
          <w:ilvl w:val="1"/>
          <w:numId w:val="23"/>
        </w:numPr>
        <w:spacing w:after="0" w:line="480" w:lineRule="auto"/>
        <w:ind w:left="1418" w:hanging="709"/>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a voluntary chosen and weakened market-based instrument aiming at climate purposes</w:t>
      </w:r>
    </w:p>
    <w:p w14:paraId="37E06240" w14:textId="77777777" w:rsidR="007C5335" w:rsidRPr="00D806D9" w:rsidRDefault="007C5335" w:rsidP="00D806D9">
      <w:pPr>
        <w:pStyle w:val="ListParagraph"/>
        <w:numPr>
          <w:ilvl w:val="1"/>
          <w:numId w:val="23"/>
        </w:numPr>
        <w:spacing w:after="0" w:line="480" w:lineRule="auto"/>
        <w:ind w:left="1418" w:hanging="709"/>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a required technological innovation necessary to ensure economic growth together with reaching PA climate targets</w:t>
      </w:r>
    </w:p>
    <w:p w14:paraId="36260FE3" w14:textId="0A4E7F7A" w:rsidR="007C5335" w:rsidRPr="00D806D9" w:rsidRDefault="007C5335" w:rsidP="00D806D9">
      <w:pPr>
        <w:pStyle w:val="ListParagraph"/>
        <w:numPr>
          <w:ilvl w:val="1"/>
          <w:numId w:val="23"/>
        </w:numPr>
        <w:spacing w:after="0" w:line="480" w:lineRule="auto"/>
        <w:ind w:left="1418" w:hanging="709"/>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an indispensable </w:t>
      </w:r>
      <w:r w:rsidR="00195839">
        <w:rPr>
          <w:rFonts w:asciiTheme="majorBidi" w:eastAsia="Times New Roman" w:hAnsiTheme="majorBidi" w:cstheme="majorBidi"/>
          <w:color w:val="000000"/>
          <w:sz w:val="24"/>
          <w:szCs w:val="24"/>
          <w:lang w:val="en-US" w:eastAsia="fr-FR" w:bidi="he-IL"/>
        </w:rPr>
        <w:t>carbon-intensive</w:t>
      </w:r>
      <w:r w:rsidRPr="00D806D9">
        <w:rPr>
          <w:rFonts w:asciiTheme="majorBidi" w:eastAsia="Times New Roman" w:hAnsiTheme="majorBidi" w:cstheme="majorBidi"/>
          <w:color w:val="000000"/>
          <w:sz w:val="24"/>
          <w:szCs w:val="24"/>
          <w:lang w:val="en-US" w:eastAsia="fr-FR" w:bidi="he-IL"/>
        </w:rPr>
        <w:t xml:space="preserve"> industry seeking jointly rents and a transition model partly funded by the government</w:t>
      </w:r>
    </w:p>
    <w:p w14:paraId="6D3C3ABF" w14:textId="4766CF42" w:rsidR="007C5335" w:rsidRPr="00D806D9" w:rsidRDefault="007C5335" w:rsidP="00D806D9">
      <w:pPr>
        <w:spacing w:after="0" w:line="480" w:lineRule="auto"/>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At the extreme, due to an adverse convergence of factors, this could deter the EC to enact policies that would increase the EUA price as its financial exposure would simultaneously </w:t>
      </w:r>
      <w:r w:rsidRPr="00D806D9">
        <w:rPr>
          <w:rFonts w:asciiTheme="majorBidi" w:eastAsia="Times New Roman" w:hAnsiTheme="majorBidi" w:cstheme="majorBidi"/>
          <w:color w:val="000000"/>
          <w:sz w:val="24"/>
          <w:szCs w:val="24"/>
          <w:lang w:val="en-US" w:eastAsia="fr-FR" w:bidi="he-IL"/>
        </w:rPr>
        <w:lastRenderedPageBreak/>
        <w:t xml:space="preserve">increase up to the point of becoming uncertain or unbearable. This confinement of the regulator within contradictory objectives could foster regulatory immobility and carbon lock-in. The </w:t>
      </w:r>
      <w:r w:rsidR="00195839">
        <w:rPr>
          <w:rFonts w:asciiTheme="majorBidi" w:eastAsia="Times New Roman" w:hAnsiTheme="majorBidi" w:cstheme="majorBidi"/>
          <w:color w:val="000000"/>
          <w:sz w:val="24"/>
          <w:szCs w:val="24"/>
          <w:lang w:val="en-US" w:eastAsia="fr-FR" w:bidi="he-IL"/>
        </w:rPr>
        <w:t>carbon-intensive</w:t>
      </w:r>
      <w:r w:rsidRPr="00D806D9">
        <w:rPr>
          <w:rFonts w:asciiTheme="majorBidi" w:eastAsia="Times New Roman" w:hAnsiTheme="majorBidi" w:cstheme="majorBidi"/>
          <w:color w:val="000000"/>
          <w:sz w:val="24"/>
          <w:szCs w:val="24"/>
          <w:lang w:val="en-US" w:eastAsia="fr-FR" w:bidi="he-IL"/>
        </w:rPr>
        <w:t xml:space="preserve"> industries could have an interest in the realization of such a scenario, not as insurance on EUA volatility but as an insurance on the limitation or impossibility for the regulator to further increase EUA price through regulatory actions. Next to financial and cultural regulatory captures (Carpenter &amp; Moss, 2013), this dynamic could be described as “self-imposed contractual capture” resulting from different regulation </w:t>
      </w:r>
      <w:r w:rsidR="00195839">
        <w:rPr>
          <w:rFonts w:asciiTheme="majorBidi" w:eastAsia="Times New Roman" w:hAnsiTheme="majorBidi" w:cstheme="majorBidi"/>
          <w:color w:val="000000"/>
          <w:sz w:val="24"/>
          <w:szCs w:val="24"/>
          <w:lang w:val="en-US" w:eastAsia="fr-FR" w:bidi="he-IL"/>
        </w:rPr>
        <w:t>domains’</w:t>
      </w:r>
      <w:r w:rsidRPr="00D806D9">
        <w:rPr>
          <w:rFonts w:asciiTheme="majorBidi" w:eastAsia="Times New Roman" w:hAnsiTheme="majorBidi" w:cstheme="majorBidi"/>
          <w:color w:val="000000"/>
          <w:sz w:val="24"/>
          <w:szCs w:val="24"/>
          <w:lang w:val="en-US" w:eastAsia="fr-FR" w:bidi="he-IL"/>
        </w:rPr>
        <w:t xml:space="preserve"> conflictual goals and under the influence of </w:t>
      </w:r>
      <w:r w:rsidR="00195839">
        <w:rPr>
          <w:rFonts w:asciiTheme="majorBidi" w:eastAsia="Times New Roman" w:hAnsiTheme="majorBidi" w:cstheme="majorBidi"/>
          <w:color w:val="000000"/>
          <w:sz w:val="24"/>
          <w:szCs w:val="24"/>
          <w:lang w:val="en-US" w:eastAsia="fr-FR" w:bidi="he-IL"/>
        </w:rPr>
        <w:t>carbon-intensive</w:t>
      </w:r>
      <w:r w:rsidRPr="00D806D9">
        <w:rPr>
          <w:rFonts w:asciiTheme="majorBidi" w:eastAsia="Times New Roman" w:hAnsiTheme="majorBidi" w:cstheme="majorBidi"/>
          <w:color w:val="000000"/>
          <w:sz w:val="24"/>
          <w:szCs w:val="24"/>
          <w:lang w:val="en-US" w:eastAsia="fr-FR" w:bidi="he-IL"/>
        </w:rPr>
        <w:t xml:space="preserve"> industries.</w:t>
      </w:r>
    </w:p>
    <w:p w14:paraId="3AA6B5EF" w14:textId="77DBD427" w:rsidR="007C5335" w:rsidRPr="00D806D9" w:rsidRDefault="007C5335" w:rsidP="00D806D9">
      <w:pPr>
        <w:spacing w:after="0" w:line="480" w:lineRule="auto"/>
        <w:ind w:firstLine="708"/>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Some elements already mentioned seem to support this idea as do the following ones. First, </w:t>
      </w:r>
      <w:r w:rsidR="00195839">
        <w:rPr>
          <w:rFonts w:asciiTheme="majorBidi" w:eastAsia="Times New Roman" w:hAnsiTheme="majorBidi" w:cstheme="majorBidi"/>
          <w:color w:val="000000"/>
          <w:sz w:val="24"/>
          <w:szCs w:val="24"/>
          <w:lang w:val="en-US" w:eastAsia="fr-FR" w:bidi="he-IL"/>
        </w:rPr>
        <w:t>energy-intensive</w:t>
      </w:r>
      <w:r w:rsidRPr="00D806D9">
        <w:rPr>
          <w:rFonts w:asciiTheme="majorBidi" w:eastAsia="Times New Roman" w:hAnsiTheme="majorBidi" w:cstheme="majorBidi"/>
          <w:color w:val="000000"/>
          <w:sz w:val="24"/>
          <w:szCs w:val="24"/>
          <w:lang w:val="en-US" w:eastAsia="fr-FR" w:bidi="he-IL"/>
        </w:rPr>
        <w:t xml:space="preserve"> industries or sectors using fossil fuels as inputs for production could be affected by stranded assets as a result of the low</w:t>
      </w:r>
      <w:r w:rsidR="007B3FB6">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carbon transition. Not being able to adapt, they could not be recouped or not maximize their expected profits. As an illustration of how the industry reacted to the CCfD announcement, the European aluminum industry published recommendations in May 2022. It advocates for CCfD to cover the full differential cost between </w:t>
      </w:r>
      <w:r w:rsidR="00397B73">
        <w:rPr>
          <w:rFonts w:asciiTheme="majorBidi" w:eastAsia="Times New Roman" w:hAnsiTheme="majorBidi" w:cstheme="majorBidi"/>
          <w:color w:val="000000"/>
          <w:sz w:val="24"/>
          <w:szCs w:val="24"/>
          <w:lang w:val="en-US" w:eastAsia="fr-FR" w:bidi="he-IL"/>
        </w:rPr>
        <w:t>low-carbon</w:t>
      </w:r>
      <w:r w:rsidRPr="00D806D9">
        <w:rPr>
          <w:rFonts w:asciiTheme="majorBidi" w:eastAsia="Times New Roman" w:hAnsiTheme="majorBidi" w:cstheme="majorBidi"/>
          <w:color w:val="000000"/>
          <w:sz w:val="24"/>
          <w:szCs w:val="24"/>
          <w:lang w:val="en-US" w:eastAsia="fr-FR" w:bidi="he-IL"/>
        </w:rPr>
        <w:t xml:space="preserve"> and conventional technologies arguing that carbon costs do not always account for the alternative development costs, thus not guaranteeing commercial viability (European </w:t>
      </w:r>
      <w:proofErr w:type="spellStart"/>
      <w:r w:rsidRPr="00D806D9">
        <w:rPr>
          <w:rFonts w:asciiTheme="majorBidi" w:eastAsia="Times New Roman" w:hAnsiTheme="majorBidi" w:cstheme="majorBidi"/>
          <w:color w:val="000000"/>
          <w:sz w:val="24"/>
          <w:szCs w:val="24"/>
          <w:lang w:val="en-US" w:eastAsia="fr-FR" w:bidi="he-IL"/>
        </w:rPr>
        <w:t>Aluminium</w:t>
      </w:r>
      <w:proofErr w:type="spellEnd"/>
      <w:r w:rsidRPr="00D806D9">
        <w:rPr>
          <w:rFonts w:asciiTheme="majorBidi" w:eastAsia="Times New Roman" w:hAnsiTheme="majorBidi" w:cstheme="majorBidi"/>
          <w:color w:val="000000"/>
          <w:sz w:val="24"/>
          <w:szCs w:val="24"/>
          <w:lang w:val="en-US" w:eastAsia="fr-FR" w:bidi="he-IL"/>
        </w:rPr>
        <w:t xml:space="preserve">, 2022). The risk covered would be much different in nature and </w:t>
      </w:r>
      <w:r w:rsidR="00195839">
        <w:rPr>
          <w:rFonts w:asciiTheme="majorBidi" w:eastAsia="Times New Roman" w:hAnsiTheme="majorBidi" w:cstheme="majorBidi"/>
          <w:color w:val="000000"/>
          <w:sz w:val="24"/>
          <w:szCs w:val="24"/>
          <w:lang w:val="en-US" w:eastAsia="fr-FR" w:bidi="he-IL"/>
        </w:rPr>
        <w:t xml:space="preserve">exceed </w:t>
      </w:r>
      <w:r w:rsidRPr="00D806D9">
        <w:rPr>
          <w:rFonts w:asciiTheme="majorBidi" w:eastAsia="Times New Roman" w:hAnsiTheme="majorBidi" w:cstheme="majorBidi"/>
          <w:color w:val="000000"/>
          <w:sz w:val="24"/>
          <w:szCs w:val="24"/>
          <w:lang w:val="en-US" w:eastAsia="fr-FR" w:bidi="he-IL"/>
        </w:rPr>
        <w:t xml:space="preserve">the sole EUA price </w:t>
      </w:r>
      <w:r w:rsidRPr="00D806D9">
        <w:rPr>
          <w:rFonts w:asciiTheme="majorBidi" w:eastAsia="Times New Roman" w:hAnsiTheme="majorBidi" w:cstheme="majorBidi"/>
          <w:sz w:val="24"/>
          <w:szCs w:val="24"/>
          <w:lang w:val="en-US" w:eastAsia="fr-FR" w:bidi="he-IL"/>
        </w:rPr>
        <w:t xml:space="preserve">volatility. Second, the language used </w:t>
      </w:r>
      <w:r w:rsidR="007B3FB6" w:rsidRPr="00D806D9">
        <w:rPr>
          <w:rFonts w:asciiTheme="majorBidi" w:eastAsia="Times New Roman" w:hAnsiTheme="majorBidi" w:cstheme="majorBidi"/>
          <w:sz w:val="24"/>
          <w:szCs w:val="24"/>
          <w:lang w:val="en-US" w:eastAsia="fr-FR" w:bidi="he-IL"/>
        </w:rPr>
        <w:t>by,</w:t>
      </w:r>
      <w:r w:rsidRPr="00D806D9">
        <w:rPr>
          <w:rFonts w:asciiTheme="majorBidi" w:eastAsia="Times New Roman" w:hAnsiTheme="majorBidi" w:cstheme="majorBidi"/>
          <w:sz w:val="24"/>
          <w:szCs w:val="24"/>
          <w:lang w:val="en-US" w:eastAsia="fr-FR" w:bidi="he-IL"/>
        </w:rPr>
        <w:t xml:space="preserve"> and obvious contradictions of</w:t>
      </w:r>
      <w:r w:rsidR="0019583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 xml:space="preserve"> the EC (2022f) illustrate </w:t>
      </w:r>
      <w:r w:rsidRPr="00D806D9">
        <w:rPr>
          <w:rFonts w:asciiTheme="majorBidi" w:eastAsia="Times New Roman" w:hAnsiTheme="majorBidi" w:cstheme="majorBidi"/>
          <w:color w:val="000000"/>
          <w:sz w:val="24"/>
          <w:szCs w:val="24"/>
          <w:lang w:val="en-US" w:eastAsia="fr-FR" w:bidi="he-IL"/>
        </w:rPr>
        <w:t>this idea. Indeed, conceptualize</w:t>
      </w:r>
      <w:r w:rsidR="00B33A02">
        <w:rPr>
          <w:rFonts w:asciiTheme="majorBidi" w:eastAsia="Times New Roman" w:hAnsiTheme="majorBidi" w:cstheme="majorBidi"/>
          <w:color w:val="000000"/>
          <w:sz w:val="24"/>
          <w:szCs w:val="24"/>
          <w:lang w:val="en-US" w:eastAsia="fr-FR" w:bidi="he-IL"/>
        </w:rPr>
        <w:t>d</w:t>
      </w:r>
      <w:r w:rsidRPr="00D806D9">
        <w:rPr>
          <w:rFonts w:asciiTheme="majorBidi" w:eastAsia="Times New Roman" w:hAnsiTheme="majorBidi" w:cstheme="majorBidi"/>
          <w:color w:val="000000"/>
          <w:sz w:val="24"/>
          <w:szCs w:val="24"/>
          <w:lang w:val="en-US" w:eastAsia="fr-FR" w:bidi="he-IL"/>
        </w:rPr>
        <w:t xml:space="preserve"> as a framework to ensure market competition and adherence to the EU competition law, point 121 evokes CCfD in simple descriptive terms. However, point 123 by stating that “beneficiaries should remain exposed to price variation and market risk, unless this undermines the attainment of the objective of the aid” seems to directly contradict both its economic and legal rationale by creating a tailor-</w:t>
      </w:r>
      <w:r w:rsidRPr="00D806D9">
        <w:rPr>
          <w:rFonts w:asciiTheme="majorBidi" w:eastAsia="Times New Roman" w:hAnsiTheme="majorBidi" w:cstheme="majorBidi"/>
          <w:color w:val="000000"/>
          <w:sz w:val="24"/>
          <w:szCs w:val="24"/>
          <w:lang w:val="en-US" w:eastAsia="fr-FR" w:bidi="he-IL"/>
        </w:rPr>
        <w:lastRenderedPageBreak/>
        <w:t>made exception.</w:t>
      </w:r>
      <w:r w:rsidRPr="00D806D9">
        <w:rPr>
          <w:rFonts w:asciiTheme="majorBidi" w:eastAsia="Times New Roman" w:hAnsiTheme="majorBidi" w:cstheme="majorBidi"/>
          <w:color w:val="FF0000"/>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t>The EC recommendations appear all the more surprising and ambiguous with the objectives it set both socially and for itself. This idea of a contractual capture would nevertheless require further investigations to both assess its validity and potential applicability scope.</w:t>
      </w:r>
    </w:p>
    <w:p w14:paraId="289E781A" w14:textId="77777777" w:rsidR="007C5335" w:rsidRPr="00D806D9" w:rsidRDefault="007C5335" w:rsidP="00D806D9">
      <w:pPr>
        <w:spacing w:after="0" w:line="480" w:lineRule="auto"/>
        <w:jc w:val="both"/>
        <w:rPr>
          <w:rFonts w:asciiTheme="majorBidi" w:eastAsia="Times New Roman" w:hAnsiTheme="majorBidi" w:cstheme="majorBidi"/>
          <w:color w:val="000000"/>
          <w:sz w:val="24"/>
          <w:szCs w:val="24"/>
          <w:lang w:val="en-US" w:eastAsia="fr-FR" w:bidi="he-IL"/>
        </w:rPr>
      </w:pPr>
    </w:p>
    <w:p w14:paraId="627254F6" w14:textId="77777777" w:rsidR="007C5335" w:rsidRPr="00D806D9" w:rsidRDefault="007C5335" w:rsidP="00D806D9">
      <w:pPr>
        <w:spacing w:after="0" w:line="480" w:lineRule="auto"/>
        <w:ind w:firstLine="708"/>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t>5.3.</w:t>
      </w:r>
      <w:r w:rsidRPr="00D806D9">
        <w:rPr>
          <w:rFonts w:asciiTheme="majorBidi" w:hAnsiTheme="majorBidi" w:cstheme="majorBidi"/>
          <w:b/>
          <w:bCs/>
          <w:sz w:val="24"/>
          <w:szCs w:val="24"/>
          <w:lang w:val="en-US"/>
        </w:rPr>
        <w:tab/>
        <w:t>Alternative policies</w:t>
      </w:r>
    </w:p>
    <w:p w14:paraId="57324133" w14:textId="77777777" w:rsidR="007C5335" w:rsidRPr="00D806D9" w:rsidRDefault="007C5335" w:rsidP="00D806D9">
      <w:pPr>
        <w:spacing w:after="0" w:line="480" w:lineRule="auto"/>
        <w:jc w:val="both"/>
        <w:textAlignment w:val="baseline"/>
        <w:rPr>
          <w:rFonts w:asciiTheme="majorBidi" w:hAnsiTheme="majorBidi" w:cstheme="majorBidi"/>
          <w:b/>
          <w:bCs/>
          <w:sz w:val="24"/>
          <w:szCs w:val="24"/>
          <w:lang w:val="en-US"/>
        </w:rPr>
      </w:pPr>
    </w:p>
    <w:p w14:paraId="3DFC2795" w14:textId="010D3341" w:rsidR="007C5335" w:rsidRPr="00D806D9" w:rsidRDefault="007C5335" w:rsidP="00D806D9">
      <w:pPr>
        <w:spacing w:after="0" w:line="480" w:lineRule="auto"/>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ab/>
        <w:t xml:space="preserve">To ensure both economic and environmental efficiency, alternative policies are possible, first based on the EU-ETS, </w:t>
      </w:r>
      <w:r w:rsidR="00756DD8">
        <w:rPr>
          <w:rFonts w:asciiTheme="majorBidi" w:eastAsia="Times New Roman" w:hAnsiTheme="majorBidi" w:cstheme="majorBidi"/>
          <w:color w:val="000000"/>
          <w:sz w:val="24"/>
          <w:szCs w:val="24"/>
          <w:lang w:val="en-US" w:eastAsia="fr-FR" w:bidi="he-IL"/>
        </w:rPr>
        <w:t xml:space="preserve">and </w:t>
      </w:r>
      <w:r w:rsidRPr="00D806D9">
        <w:rPr>
          <w:rFonts w:asciiTheme="majorBidi" w:eastAsia="Times New Roman" w:hAnsiTheme="majorBidi" w:cstheme="majorBidi"/>
          <w:color w:val="000000"/>
          <w:sz w:val="24"/>
          <w:szCs w:val="24"/>
          <w:lang w:val="en-US" w:eastAsia="fr-FR" w:bidi="he-IL"/>
        </w:rPr>
        <w:t>second on energy</w:t>
      </w:r>
      <w:r w:rsidR="00B33A02">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sufficiency planification.</w:t>
      </w:r>
    </w:p>
    <w:p w14:paraId="0D8741BE" w14:textId="77777777" w:rsidR="007C5335" w:rsidRPr="00D806D9" w:rsidRDefault="007C5335" w:rsidP="00D806D9">
      <w:pPr>
        <w:spacing w:after="0" w:line="480" w:lineRule="auto"/>
        <w:jc w:val="both"/>
        <w:textAlignment w:val="baseline"/>
        <w:rPr>
          <w:rFonts w:asciiTheme="majorBidi" w:eastAsia="Times New Roman" w:hAnsiTheme="majorBidi" w:cstheme="majorBidi"/>
          <w:color w:val="000000"/>
          <w:sz w:val="24"/>
          <w:szCs w:val="24"/>
          <w:lang w:val="en-US" w:eastAsia="fr-FR" w:bidi="he-IL"/>
        </w:rPr>
      </w:pPr>
    </w:p>
    <w:p w14:paraId="18F1DBDC" w14:textId="77777777" w:rsidR="007C5335" w:rsidRPr="00D806D9" w:rsidRDefault="007C5335" w:rsidP="00D806D9">
      <w:pPr>
        <w:spacing w:after="0" w:line="480" w:lineRule="auto"/>
        <w:ind w:firstLine="708"/>
        <w:jc w:val="both"/>
        <w:textAlignment w:val="baseline"/>
        <w:rPr>
          <w:rFonts w:asciiTheme="majorBidi" w:hAnsiTheme="majorBidi" w:cstheme="majorBidi"/>
          <w:b/>
          <w:bCs/>
          <w:sz w:val="24"/>
          <w:szCs w:val="24"/>
          <w:lang w:val="en-US"/>
        </w:rPr>
      </w:pPr>
      <w:r w:rsidRPr="00D806D9">
        <w:rPr>
          <w:rFonts w:asciiTheme="majorBidi" w:hAnsiTheme="majorBidi" w:cstheme="majorBidi"/>
          <w:b/>
          <w:bCs/>
          <w:sz w:val="24"/>
          <w:szCs w:val="24"/>
          <w:lang w:val="en-US"/>
        </w:rPr>
        <w:t>5.3.1.</w:t>
      </w:r>
      <w:r w:rsidRPr="00D806D9">
        <w:rPr>
          <w:rFonts w:asciiTheme="majorBidi" w:hAnsiTheme="majorBidi" w:cstheme="majorBidi"/>
          <w:b/>
          <w:bCs/>
          <w:sz w:val="24"/>
          <w:szCs w:val="24"/>
          <w:lang w:val="en-US"/>
        </w:rPr>
        <w:tab/>
        <w:t>The carbon price as an alternative?</w:t>
      </w:r>
    </w:p>
    <w:p w14:paraId="118C457D" w14:textId="77777777" w:rsidR="007C5335" w:rsidRPr="00D806D9" w:rsidRDefault="007C5335" w:rsidP="00D806D9">
      <w:pPr>
        <w:spacing w:after="0" w:line="480" w:lineRule="auto"/>
        <w:jc w:val="both"/>
        <w:rPr>
          <w:rFonts w:asciiTheme="majorBidi" w:eastAsia="Times New Roman" w:hAnsiTheme="majorBidi" w:cstheme="majorBidi"/>
          <w:color w:val="000000"/>
          <w:sz w:val="24"/>
          <w:szCs w:val="24"/>
          <w:lang w:val="en-US" w:eastAsia="fr-FR" w:bidi="he-IL"/>
        </w:rPr>
      </w:pPr>
    </w:p>
    <w:p w14:paraId="4D529996" w14:textId="114F2137" w:rsidR="007C5335" w:rsidRPr="00D806D9" w:rsidRDefault="007C5335" w:rsidP="00D806D9">
      <w:pPr>
        <w:spacing w:after="0" w:line="480" w:lineRule="auto"/>
        <w:ind w:firstLine="708"/>
        <w:jc w:val="both"/>
        <w:rPr>
          <w:rFonts w:asciiTheme="majorBidi" w:hAnsiTheme="majorBidi" w:cstheme="majorBidi"/>
          <w:sz w:val="24"/>
          <w:szCs w:val="24"/>
          <w:lang w:val="en-US"/>
        </w:rPr>
      </w:pPr>
      <w:r w:rsidRPr="00D806D9">
        <w:rPr>
          <w:rFonts w:asciiTheme="majorBidi" w:hAnsiTheme="majorBidi" w:cstheme="majorBidi"/>
          <w:sz w:val="24"/>
          <w:szCs w:val="24"/>
          <w:lang w:val="en-US"/>
        </w:rPr>
        <w:t>Despite clear influences on its design, the EU-ETS has been able to evolve through reforming including increasingly more sectors and activities. Directive 2008/101/EC (EC, 2008) and Directive 2009/29/EC (EC, 2009) extended its scope to new sectors and the latter includ</w:t>
      </w:r>
      <w:r w:rsidR="00362572">
        <w:rPr>
          <w:rFonts w:asciiTheme="majorBidi" w:hAnsiTheme="majorBidi" w:cstheme="majorBidi"/>
          <w:sz w:val="24"/>
          <w:szCs w:val="24"/>
          <w:lang w:val="en-US"/>
        </w:rPr>
        <w:t>ing</w:t>
      </w:r>
      <w:r w:rsidRPr="00D806D9">
        <w:rPr>
          <w:rFonts w:asciiTheme="majorBidi" w:hAnsiTheme="majorBidi" w:cstheme="majorBidi"/>
          <w:sz w:val="24"/>
          <w:szCs w:val="24"/>
          <w:lang w:val="en-US"/>
        </w:rPr>
        <w:t xml:space="preserve"> new GHGs (N</w:t>
      </w:r>
      <w:r w:rsidRPr="00D806D9">
        <w:rPr>
          <w:rFonts w:asciiTheme="majorBidi" w:hAnsiTheme="majorBidi" w:cstheme="majorBidi"/>
          <w:sz w:val="24"/>
          <w:szCs w:val="24"/>
          <w:vertAlign w:val="subscript"/>
          <w:lang w:val="en-US"/>
        </w:rPr>
        <w:t>2</w:t>
      </w:r>
      <w:r w:rsidRPr="00D806D9">
        <w:rPr>
          <w:rFonts w:asciiTheme="majorBidi" w:hAnsiTheme="majorBidi" w:cstheme="majorBidi"/>
          <w:sz w:val="24"/>
          <w:szCs w:val="24"/>
          <w:lang w:val="en-US"/>
        </w:rPr>
        <w:t xml:space="preserve">O and PFCs). Current EU-ETS negotiations focus on fading out free allocations and extending further the EU-ETS scope. Further, the CBAM is a complementary policy that theoretically should both maintain the incentive for activities to remain in the EU and reinforce it through standards implementation at the EU’s borders. Still under negotiation at the EU level to come into effect in 2026, the last conversations have seen the inclusion of all EU-ETS sectors and hydrogen to ensure its compliance with the last political orientation and the EU environmental commitments. Indeed, to ensure the carbon footprint of future hydrogen imports, a certification system is required that would guarantee the </w:t>
      </w:r>
      <w:r w:rsidR="00397B73">
        <w:rPr>
          <w:rFonts w:asciiTheme="majorBidi" w:hAnsiTheme="majorBidi" w:cstheme="majorBidi"/>
          <w:sz w:val="24"/>
          <w:szCs w:val="24"/>
          <w:lang w:val="en-US"/>
        </w:rPr>
        <w:t>low-carbon</w:t>
      </w:r>
      <w:r w:rsidRPr="00D806D9">
        <w:rPr>
          <w:rFonts w:asciiTheme="majorBidi" w:hAnsiTheme="majorBidi" w:cstheme="majorBidi"/>
          <w:sz w:val="24"/>
          <w:szCs w:val="24"/>
          <w:lang w:val="en-US"/>
        </w:rPr>
        <w:t xml:space="preserve"> energy used for its production</w:t>
      </w:r>
      <w:r w:rsidR="0003342C" w:rsidRPr="00D806D9">
        <w:rPr>
          <w:rFonts w:asciiTheme="majorBidi" w:hAnsiTheme="majorBidi" w:cstheme="majorBidi"/>
          <w:sz w:val="24"/>
          <w:szCs w:val="24"/>
          <w:lang w:val="en-US"/>
        </w:rPr>
        <w:t xml:space="preserve"> (IRENA, 2022a)</w:t>
      </w:r>
      <w:r w:rsidRPr="00D806D9">
        <w:rPr>
          <w:rFonts w:asciiTheme="majorBidi" w:hAnsiTheme="majorBidi" w:cstheme="majorBidi"/>
          <w:sz w:val="24"/>
          <w:szCs w:val="24"/>
          <w:lang w:val="en-US"/>
        </w:rPr>
        <w:t xml:space="preserve">. This standard will allow </w:t>
      </w:r>
      <w:r w:rsidR="00756DD8">
        <w:rPr>
          <w:rFonts w:asciiTheme="majorBidi" w:hAnsiTheme="majorBidi" w:cstheme="majorBidi"/>
          <w:sz w:val="24"/>
          <w:szCs w:val="24"/>
          <w:lang w:val="en-US"/>
        </w:rPr>
        <w:t>avoid</w:t>
      </w:r>
      <w:r w:rsidRPr="00D806D9">
        <w:rPr>
          <w:rFonts w:asciiTheme="majorBidi" w:hAnsiTheme="majorBidi" w:cstheme="majorBidi"/>
          <w:sz w:val="24"/>
          <w:szCs w:val="24"/>
          <w:lang w:val="en-US"/>
        </w:rPr>
        <w:t xml:space="preserve"> competition distortions after </w:t>
      </w:r>
      <w:r w:rsidR="00756DD8">
        <w:rPr>
          <w:rFonts w:asciiTheme="majorBidi" w:hAnsiTheme="majorBidi" w:cstheme="majorBidi"/>
          <w:sz w:val="24"/>
          <w:szCs w:val="24"/>
          <w:lang w:val="en-US"/>
        </w:rPr>
        <w:t xml:space="preserve">the </w:t>
      </w:r>
      <w:r w:rsidRPr="00D806D9">
        <w:rPr>
          <w:rFonts w:asciiTheme="majorBidi" w:hAnsiTheme="majorBidi" w:cstheme="majorBidi"/>
          <w:sz w:val="24"/>
          <w:szCs w:val="24"/>
          <w:lang w:val="en-US"/>
        </w:rPr>
        <w:t xml:space="preserve">implementation </w:t>
      </w:r>
      <w:r w:rsidRPr="00D806D9">
        <w:rPr>
          <w:rFonts w:asciiTheme="majorBidi" w:hAnsiTheme="majorBidi" w:cstheme="majorBidi"/>
          <w:sz w:val="24"/>
          <w:szCs w:val="24"/>
          <w:lang w:val="en-US"/>
        </w:rPr>
        <w:lastRenderedPageBreak/>
        <w:t xml:space="preserve">of the CBAM with countries not having the same requirements. The EU-ETS has proven its ability to </w:t>
      </w:r>
      <w:r w:rsidR="00576FA0">
        <w:rPr>
          <w:rFonts w:asciiTheme="majorBidi" w:hAnsiTheme="majorBidi" w:cstheme="majorBidi"/>
          <w:sz w:val="24"/>
          <w:szCs w:val="24"/>
          <w:lang w:val="en-US"/>
        </w:rPr>
        <w:t>be</w:t>
      </w:r>
      <w:r w:rsidRPr="00D806D9">
        <w:rPr>
          <w:rFonts w:asciiTheme="majorBidi" w:hAnsiTheme="majorBidi" w:cstheme="majorBidi"/>
          <w:sz w:val="24"/>
          <w:szCs w:val="24"/>
          <w:lang w:val="en-US"/>
        </w:rPr>
        <w:t xml:space="preserve"> reformed and operationalized.</w:t>
      </w:r>
    </w:p>
    <w:p w14:paraId="74DAECC6" w14:textId="186096B2" w:rsidR="007C5335" w:rsidRPr="00D806D9" w:rsidRDefault="007C5335"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The argument of first-of-a-kind installations facing “higher operation and investment costs than conventional carbon-intensive processes” (</w:t>
      </w:r>
      <w:bookmarkStart w:id="19" w:name="_Hlk110871607"/>
      <w:proofErr w:type="spellStart"/>
      <w:r w:rsidRPr="00D806D9">
        <w:rPr>
          <w:rFonts w:asciiTheme="majorBidi" w:eastAsia="Times New Roman" w:hAnsiTheme="majorBidi" w:cstheme="majorBidi"/>
          <w:color w:val="000000"/>
          <w:sz w:val="24"/>
          <w:szCs w:val="24"/>
          <w:lang w:val="en-US" w:eastAsia="fr-FR" w:bidi="he-IL"/>
        </w:rPr>
        <w:t>Richstein</w:t>
      </w:r>
      <w:proofErr w:type="spellEnd"/>
      <w:r w:rsidRPr="00D806D9">
        <w:rPr>
          <w:rFonts w:asciiTheme="majorBidi" w:eastAsia="Times New Roman" w:hAnsiTheme="majorBidi" w:cstheme="majorBidi"/>
          <w:color w:val="000000"/>
          <w:sz w:val="24"/>
          <w:szCs w:val="24"/>
          <w:lang w:val="en-US" w:eastAsia="fr-FR" w:bidi="he-IL"/>
        </w:rPr>
        <w:t xml:space="preserve"> &amp; Neuhoff</w:t>
      </w:r>
      <w:bookmarkEnd w:id="19"/>
      <w:r w:rsidRPr="00D806D9">
        <w:rPr>
          <w:rFonts w:asciiTheme="majorBidi" w:eastAsia="Times New Roman" w:hAnsiTheme="majorBidi" w:cstheme="majorBidi"/>
          <w:color w:val="000000"/>
          <w:sz w:val="24"/>
          <w:szCs w:val="24"/>
          <w:lang w:val="en-US" w:eastAsia="fr-FR" w:bidi="he-IL"/>
        </w:rPr>
        <w:t xml:space="preserve">, 2022, p.1) is recurring. Nonetheless, this is due to their very nature, both innovative and </w:t>
      </w:r>
      <w:r w:rsidR="00397B73">
        <w:rPr>
          <w:rFonts w:asciiTheme="majorBidi" w:eastAsia="Times New Roman" w:hAnsiTheme="majorBidi" w:cstheme="majorBidi"/>
          <w:color w:val="000000"/>
          <w:sz w:val="24"/>
          <w:szCs w:val="24"/>
          <w:lang w:val="en-US" w:eastAsia="fr-FR" w:bidi="he-IL"/>
        </w:rPr>
        <w:t>low-carbon</w:t>
      </w:r>
      <w:r w:rsidRPr="00D806D9">
        <w:rPr>
          <w:rFonts w:asciiTheme="majorBidi" w:eastAsia="Times New Roman" w:hAnsiTheme="majorBidi" w:cstheme="majorBidi"/>
          <w:color w:val="000000"/>
          <w:sz w:val="24"/>
          <w:szCs w:val="24"/>
          <w:lang w:val="en-US" w:eastAsia="fr-FR" w:bidi="he-IL"/>
        </w:rPr>
        <w:t xml:space="preserve"> based, thus intrinsically more expensive than carbon-based options. This is the very issue </w:t>
      </w:r>
      <w:r w:rsidR="007C0568">
        <w:rPr>
          <w:rFonts w:asciiTheme="majorBidi" w:eastAsia="Times New Roman" w:hAnsiTheme="majorBidi" w:cstheme="majorBidi"/>
          <w:color w:val="000000"/>
          <w:sz w:val="24"/>
          <w:szCs w:val="24"/>
          <w:lang w:val="en-US" w:eastAsia="fr-FR" w:bidi="he-IL"/>
        </w:rPr>
        <w:t xml:space="preserve">that </w:t>
      </w:r>
      <w:r w:rsidRPr="00D806D9">
        <w:rPr>
          <w:rFonts w:asciiTheme="majorBidi" w:eastAsia="Times New Roman" w:hAnsiTheme="majorBidi" w:cstheme="majorBidi"/>
          <w:color w:val="000000"/>
          <w:sz w:val="24"/>
          <w:szCs w:val="24"/>
          <w:lang w:val="en-US" w:eastAsia="fr-FR" w:bidi="he-IL"/>
        </w:rPr>
        <w:t xml:space="preserve">the EU-ETS aims at resolving by pricing carbon. Therefore, </w:t>
      </w:r>
      <w:r w:rsidR="007B3FB6" w:rsidRPr="00D806D9">
        <w:rPr>
          <w:rFonts w:asciiTheme="majorBidi" w:eastAsia="Times New Roman" w:hAnsiTheme="majorBidi" w:cstheme="majorBidi"/>
          <w:color w:val="000000"/>
          <w:sz w:val="24"/>
          <w:szCs w:val="24"/>
          <w:lang w:val="en-US" w:eastAsia="fr-FR" w:bidi="he-IL"/>
        </w:rPr>
        <w:t>a better adjustment of this regulatory framework</w:t>
      </w:r>
      <w:r w:rsidRPr="00D806D9">
        <w:rPr>
          <w:rFonts w:asciiTheme="majorBidi" w:eastAsia="Times New Roman" w:hAnsiTheme="majorBidi" w:cstheme="majorBidi"/>
          <w:color w:val="000000"/>
          <w:sz w:val="24"/>
          <w:szCs w:val="24"/>
          <w:lang w:val="en-US" w:eastAsia="fr-FR" w:bidi="he-IL"/>
        </w:rPr>
        <w:t xml:space="preserve"> through a more stringent policy </w:t>
      </w:r>
      <w:r w:rsidR="00151723">
        <w:rPr>
          <w:rFonts w:asciiTheme="majorBidi" w:eastAsia="Times New Roman" w:hAnsiTheme="majorBidi" w:cstheme="majorBidi"/>
          <w:color w:val="000000"/>
          <w:sz w:val="24"/>
          <w:szCs w:val="24"/>
          <w:lang w:val="en-US" w:eastAsia="fr-FR" w:bidi="he-IL"/>
        </w:rPr>
        <w:t>responds</w:t>
      </w:r>
      <w:r w:rsidRPr="00D806D9">
        <w:rPr>
          <w:rFonts w:asciiTheme="majorBidi" w:eastAsia="Times New Roman" w:hAnsiTheme="majorBidi" w:cstheme="majorBidi"/>
          <w:color w:val="000000"/>
          <w:sz w:val="24"/>
          <w:szCs w:val="24"/>
          <w:lang w:val="en-US" w:eastAsia="fr-FR" w:bidi="he-IL"/>
        </w:rPr>
        <w:t xml:space="preserve"> to this argument. Indeed, instating a price floor would definitively strengthen financial certainty for innovative projects and remove the need for insurance, as mentioned for the t</w:t>
      </w:r>
      <w:r w:rsidRPr="00D806D9">
        <w:rPr>
          <w:rFonts w:asciiTheme="majorBidi" w:hAnsiTheme="majorBidi" w:cstheme="majorBidi"/>
          <w:sz w:val="24"/>
          <w:szCs w:val="24"/>
          <w:lang w:val="en-US"/>
        </w:rPr>
        <w:t>hermal pyrolysis of methane in section 2</w:t>
      </w:r>
      <w:r w:rsidRPr="00D806D9">
        <w:rPr>
          <w:rFonts w:asciiTheme="majorBidi" w:eastAsia="Times New Roman" w:hAnsiTheme="majorBidi" w:cstheme="majorBidi"/>
          <w:color w:val="000000"/>
          <w:sz w:val="24"/>
          <w:szCs w:val="24"/>
          <w:lang w:val="en-US" w:eastAsia="fr-FR" w:bidi="he-IL"/>
        </w:rPr>
        <w:t xml:space="preserve">. If not solving the volatility issue completely, a clear signal rending impossible EUA price drop </w:t>
      </w:r>
      <w:r w:rsidR="00C143FE">
        <w:rPr>
          <w:rFonts w:asciiTheme="majorBidi" w:eastAsia="Times New Roman" w:hAnsiTheme="majorBidi" w:cstheme="majorBidi"/>
          <w:color w:val="000000"/>
          <w:sz w:val="24"/>
          <w:szCs w:val="24"/>
          <w:lang w:val="en-US" w:eastAsia="fr-FR" w:bidi="he-IL"/>
        </w:rPr>
        <w:t>below</w:t>
      </w:r>
      <w:r w:rsidRPr="00D806D9">
        <w:rPr>
          <w:rFonts w:asciiTheme="majorBidi" w:eastAsia="Times New Roman" w:hAnsiTheme="majorBidi" w:cstheme="majorBidi"/>
          <w:color w:val="000000"/>
          <w:sz w:val="24"/>
          <w:szCs w:val="24"/>
          <w:lang w:val="en-US" w:eastAsia="fr-FR" w:bidi="he-IL"/>
        </w:rPr>
        <w:t xml:space="preserve"> a certain limit allows to stabilize it and has proven to be more effective and efficient </w:t>
      </w:r>
      <w:r w:rsidR="00151723">
        <w:rPr>
          <w:rFonts w:asciiTheme="majorBidi" w:eastAsia="Times New Roman" w:hAnsiTheme="majorBidi" w:cstheme="majorBidi"/>
          <w:color w:val="000000"/>
          <w:sz w:val="24"/>
          <w:szCs w:val="24"/>
          <w:lang w:val="en-US" w:eastAsia="fr-FR" w:bidi="he-IL"/>
        </w:rPr>
        <w:t>in</w:t>
      </w:r>
      <w:r w:rsidRPr="00D806D9">
        <w:rPr>
          <w:rFonts w:asciiTheme="majorBidi" w:eastAsia="Times New Roman" w:hAnsiTheme="majorBidi" w:cstheme="majorBidi"/>
          <w:color w:val="000000"/>
          <w:sz w:val="24"/>
          <w:szCs w:val="24"/>
          <w:lang w:val="en-US" w:eastAsia="fr-FR" w:bidi="he-IL"/>
        </w:rPr>
        <w:t xml:space="preserve"> reducing transaction costs in other ETSs (</w:t>
      </w:r>
      <w:proofErr w:type="spellStart"/>
      <w:r w:rsidRPr="00D806D9">
        <w:rPr>
          <w:rFonts w:asciiTheme="majorBidi" w:eastAsia="Times New Roman" w:hAnsiTheme="majorBidi" w:cstheme="majorBidi"/>
          <w:color w:val="000000"/>
          <w:sz w:val="24"/>
          <w:szCs w:val="24"/>
          <w:lang w:val="en-US" w:eastAsia="fr-FR" w:bidi="he-IL"/>
        </w:rPr>
        <w:t>Borghesi</w:t>
      </w:r>
      <w:proofErr w:type="spellEnd"/>
      <w:r w:rsidRPr="00D806D9">
        <w:rPr>
          <w:rFonts w:asciiTheme="majorBidi" w:eastAsia="Times New Roman" w:hAnsiTheme="majorBidi" w:cstheme="majorBidi"/>
          <w:color w:val="000000"/>
          <w:sz w:val="24"/>
          <w:szCs w:val="24"/>
          <w:lang w:val="en-US" w:eastAsia="fr-FR" w:bidi="he-IL"/>
        </w:rPr>
        <w:t xml:space="preserve"> et al. 2016). Even </w:t>
      </w:r>
      <w:proofErr w:type="spellStart"/>
      <w:r w:rsidRPr="00D806D9">
        <w:rPr>
          <w:rFonts w:asciiTheme="majorBidi" w:eastAsia="Times New Roman" w:hAnsiTheme="majorBidi" w:cstheme="majorBidi"/>
          <w:color w:val="000000"/>
          <w:sz w:val="24"/>
          <w:szCs w:val="24"/>
          <w:lang w:val="en-US" w:eastAsia="fr-FR" w:bidi="he-IL"/>
        </w:rPr>
        <w:t>Richstein</w:t>
      </w:r>
      <w:proofErr w:type="spellEnd"/>
      <w:r w:rsidRPr="00D806D9">
        <w:rPr>
          <w:rFonts w:asciiTheme="majorBidi" w:eastAsia="Times New Roman" w:hAnsiTheme="majorBidi" w:cstheme="majorBidi"/>
          <w:color w:val="000000"/>
          <w:sz w:val="24"/>
          <w:szCs w:val="24"/>
          <w:lang w:val="en-US" w:eastAsia="fr-FR" w:bidi="he-IL"/>
        </w:rPr>
        <w:t xml:space="preserve"> and Neuhoff (2022) who argue for the implementation of CCfD recognize that “with an increasing carbon price floor, more certain revenue is available to serve debt […] more debt can be raised to finance the investment” (p.4). Their conclusion regarding the feasibility and credibility of such </w:t>
      </w:r>
      <w:r w:rsidR="007C0568">
        <w:rPr>
          <w:rFonts w:asciiTheme="majorBidi" w:eastAsia="Times New Roman" w:hAnsiTheme="majorBidi" w:cstheme="majorBidi"/>
          <w:color w:val="000000"/>
          <w:sz w:val="24"/>
          <w:szCs w:val="24"/>
          <w:lang w:val="en-US" w:eastAsia="fr-FR" w:bidi="he-IL"/>
        </w:rPr>
        <w:t xml:space="preserve">a </w:t>
      </w:r>
      <w:r w:rsidRPr="00D806D9">
        <w:rPr>
          <w:rFonts w:asciiTheme="majorBidi" w:eastAsia="Times New Roman" w:hAnsiTheme="majorBidi" w:cstheme="majorBidi"/>
          <w:color w:val="000000"/>
          <w:sz w:val="24"/>
          <w:szCs w:val="24"/>
          <w:lang w:val="en-US" w:eastAsia="fr-FR" w:bidi="he-IL"/>
        </w:rPr>
        <w:t xml:space="preserve">policy as perceived as </w:t>
      </w:r>
      <w:r w:rsidR="00151723">
        <w:rPr>
          <w:rFonts w:asciiTheme="majorBidi" w:eastAsia="Times New Roman" w:hAnsiTheme="majorBidi" w:cstheme="majorBidi"/>
          <w:color w:val="000000"/>
          <w:sz w:val="24"/>
          <w:szCs w:val="24"/>
          <w:lang w:val="en-US" w:eastAsia="fr-FR" w:bidi="he-IL"/>
        </w:rPr>
        <w:t>unstable</w:t>
      </w:r>
      <w:r w:rsidRPr="00D806D9">
        <w:rPr>
          <w:rFonts w:asciiTheme="majorBidi" w:eastAsia="Times New Roman" w:hAnsiTheme="majorBidi" w:cstheme="majorBidi"/>
          <w:color w:val="000000"/>
          <w:sz w:val="24"/>
          <w:szCs w:val="24"/>
          <w:lang w:val="en-US" w:eastAsia="fr-FR" w:bidi="he-IL"/>
        </w:rPr>
        <w:t>, “while contracts are legally enforceable</w:t>
      </w:r>
      <w:r w:rsidR="007B3FB6" w:rsidRPr="00D806D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is refuted by the EUA price evolution since last year. Besides, any distortions </w:t>
      </w:r>
      <w:r w:rsidR="007B3FB6" w:rsidRPr="00D806D9">
        <w:rPr>
          <w:rFonts w:asciiTheme="majorBidi" w:eastAsia="Times New Roman" w:hAnsiTheme="majorBidi" w:cstheme="majorBidi"/>
          <w:color w:val="000000"/>
          <w:sz w:val="24"/>
          <w:szCs w:val="24"/>
          <w:lang w:val="en-US" w:eastAsia="fr-FR" w:bidi="he-IL"/>
        </w:rPr>
        <w:t>created,</w:t>
      </w:r>
      <w:r w:rsidRPr="00D806D9">
        <w:rPr>
          <w:rFonts w:asciiTheme="majorBidi" w:eastAsia="Times New Roman" w:hAnsiTheme="majorBidi" w:cstheme="majorBidi"/>
          <w:color w:val="000000"/>
          <w:sz w:val="24"/>
          <w:szCs w:val="24"/>
          <w:lang w:val="en-US" w:eastAsia="fr-FR" w:bidi="he-IL"/>
        </w:rPr>
        <w:t xml:space="preserve"> and innovation support could be financed through this policy as the IF financial capacities are “around EUR 22.5 billion in the period 2020-2030 (assuming a carbon price of EUR 50/</w:t>
      </w:r>
      <w:proofErr w:type="spellStart"/>
      <w:r w:rsidRPr="00D806D9">
        <w:rPr>
          <w:rFonts w:asciiTheme="majorBidi" w:eastAsia="Times New Roman" w:hAnsiTheme="majorBidi" w:cstheme="majorBidi"/>
          <w:color w:val="000000"/>
          <w:sz w:val="24"/>
          <w:szCs w:val="24"/>
          <w:lang w:val="en-US" w:eastAsia="fr-FR" w:bidi="he-IL"/>
        </w:rPr>
        <w:t>tonne</w:t>
      </w:r>
      <w:proofErr w:type="spellEnd"/>
      <w:r w:rsidRPr="00D806D9">
        <w:rPr>
          <w:rFonts w:asciiTheme="majorBidi" w:eastAsia="Times New Roman" w:hAnsiTheme="majorBidi" w:cstheme="majorBidi"/>
          <w:color w:val="000000"/>
          <w:sz w:val="24"/>
          <w:szCs w:val="24"/>
          <w:lang w:val="en-US" w:eastAsia="fr-FR" w:bidi="he-IL"/>
        </w:rPr>
        <w:t xml:space="preserve">) coming from the </w:t>
      </w:r>
      <w:proofErr w:type="spellStart"/>
      <w:r w:rsidRPr="00D806D9">
        <w:rPr>
          <w:rFonts w:asciiTheme="majorBidi" w:eastAsia="Times New Roman" w:hAnsiTheme="majorBidi" w:cstheme="majorBidi"/>
          <w:color w:val="000000"/>
          <w:sz w:val="24"/>
          <w:szCs w:val="24"/>
          <w:lang w:val="en-US" w:eastAsia="fr-FR" w:bidi="he-IL"/>
        </w:rPr>
        <w:t>monetisation</w:t>
      </w:r>
      <w:proofErr w:type="spellEnd"/>
      <w:r w:rsidRPr="00D806D9">
        <w:rPr>
          <w:rFonts w:asciiTheme="majorBidi" w:eastAsia="Times New Roman" w:hAnsiTheme="majorBidi" w:cstheme="majorBidi"/>
          <w:color w:val="000000"/>
          <w:sz w:val="24"/>
          <w:szCs w:val="24"/>
          <w:lang w:val="en-US" w:eastAsia="fr-FR" w:bidi="he-IL"/>
        </w:rPr>
        <w:t xml:space="preserve"> of ETS allowances.” (EC, 2021d, p.25) Since then, the EUA price has nearly </w:t>
      </w:r>
      <w:r w:rsidR="007B3FB6" w:rsidRPr="00D806D9">
        <w:rPr>
          <w:rFonts w:asciiTheme="majorBidi" w:eastAsia="Times New Roman" w:hAnsiTheme="majorBidi" w:cstheme="majorBidi"/>
          <w:color w:val="000000"/>
          <w:sz w:val="24"/>
          <w:szCs w:val="24"/>
          <w:lang w:val="en-US" w:eastAsia="fr-FR" w:bidi="he-IL"/>
        </w:rPr>
        <w:t>doubled,</w:t>
      </w:r>
      <w:r w:rsidRPr="00D806D9">
        <w:rPr>
          <w:rFonts w:asciiTheme="majorBidi" w:eastAsia="Times New Roman" w:hAnsiTheme="majorBidi" w:cstheme="majorBidi"/>
          <w:color w:val="000000"/>
          <w:sz w:val="24"/>
          <w:szCs w:val="24"/>
          <w:lang w:val="en-US" w:eastAsia="fr-FR" w:bidi="he-IL"/>
        </w:rPr>
        <w:t xml:space="preserve"> and the sectors covered by the EU-ETS could be vastly extended providing more capital to the IF which could support huge LCH innovations for instance against tangible counterparts such as returns from projects and/or technologies.</w:t>
      </w:r>
    </w:p>
    <w:p w14:paraId="0221B953" w14:textId="70BA46C8" w:rsidR="007E4C0D" w:rsidRPr="00D806D9" w:rsidRDefault="007C5335" w:rsidP="00D806D9">
      <w:pPr>
        <w:spacing w:after="0" w:line="480" w:lineRule="auto"/>
        <w:ind w:firstLine="708"/>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lastRenderedPageBreak/>
        <w:t xml:space="preserve">A stronger argument regarding policy hesitation could </w:t>
      </w:r>
      <w:r w:rsidR="00151723">
        <w:rPr>
          <w:rFonts w:asciiTheme="majorBidi" w:eastAsia="Times New Roman" w:hAnsiTheme="majorBidi" w:cstheme="majorBidi"/>
          <w:color w:val="000000"/>
          <w:sz w:val="24"/>
          <w:szCs w:val="24"/>
          <w:lang w:val="en-US" w:eastAsia="fr-FR" w:bidi="he-IL"/>
        </w:rPr>
        <w:t>be made</w:t>
      </w:r>
      <w:r w:rsidRPr="00D806D9">
        <w:rPr>
          <w:rFonts w:asciiTheme="majorBidi" w:eastAsia="Times New Roman" w:hAnsiTheme="majorBidi" w:cstheme="majorBidi"/>
          <w:color w:val="000000"/>
          <w:sz w:val="24"/>
          <w:szCs w:val="24"/>
          <w:lang w:val="en-US" w:eastAsia="fr-FR" w:bidi="he-IL"/>
        </w:rPr>
        <w:t xml:space="preserve"> regarding the ability of EUA price increase to stimulate inflation</w:t>
      </w:r>
      <w:r w:rsidR="007C0568">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which is a </w:t>
      </w:r>
      <w:r w:rsidR="00151723">
        <w:rPr>
          <w:rFonts w:asciiTheme="majorBidi" w:eastAsia="Times New Roman" w:hAnsiTheme="majorBidi" w:cstheme="majorBidi"/>
          <w:color w:val="000000"/>
          <w:sz w:val="24"/>
          <w:szCs w:val="24"/>
          <w:lang w:val="en-US" w:eastAsia="fr-FR" w:bidi="he-IL"/>
        </w:rPr>
        <w:t>politically</w:t>
      </w:r>
      <w:r w:rsidRPr="00D806D9">
        <w:rPr>
          <w:rFonts w:asciiTheme="majorBidi" w:eastAsia="Times New Roman" w:hAnsiTheme="majorBidi" w:cstheme="majorBidi"/>
          <w:color w:val="000000"/>
          <w:sz w:val="24"/>
          <w:szCs w:val="24"/>
          <w:lang w:val="en-US" w:eastAsia="fr-FR" w:bidi="he-IL"/>
        </w:rPr>
        <w:t xml:space="preserve"> sensitive topic. By implying more costs to the sectors included under the EU-ETS, particularly basic materials as being the more polluting ones and then supplying the rest of the economy, this mechanically generates inflation downstream </w:t>
      </w:r>
      <w:r w:rsidR="007C0568">
        <w:rPr>
          <w:rFonts w:asciiTheme="majorBidi" w:eastAsia="Times New Roman" w:hAnsiTheme="majorBidi" w:cstheme="majorBidi"/>
          <w:color w:val="000000"/>
          <w:sz w:val="24"/>
          <w:szCs w:val="24"/>
          <w:lang w:val="en-US" w:eastAsia="fr-FR" w:bidi="he-IL"/>
        </w:rPr>
        <w:t xml:space="preserve">of </w:t>
      </w:r>
      <w:r w:rsidRPr="00D806D9">
        <w:rPr>
          <w:rFonts w:asciiTheme="majorBidi" w:eastAsia="Times New Roman" w:hAnsiTheme="majorBidi" w:cstheme="majorBidi"/>
          <w:color w:val="000000"/>
          <w:sz w:val="24"/>
          <w:szCs w:val="24"/>
          <w:lang w:val="en-US" w:eastAsia="fr-FR" w:bidi="he-IL"/>
        </w:rPr>
        <w:t>the supply chains. This could lead policymakers to “intervene if they become concerned that the carbon price has societal/political effects that are too damaging” (</w:t>
      </w:r>
      <w:bookmarkStart w:id="20" w:name="_Hlk110956859"/>
      <w:r w:rsidRPr="00D806D9">
        <w:rPr>
          <w:rFonts w:asciiTheme="majorBidi" w:eastAsia="Times New Roman" w:hAnsiTheme="majorBidi" w:cstheme="majorBidi"/>
          <w:color w:val="000000"/>
          <w:sz w:val="24"/>
          <w:szCs w:val="24"/>
          <w:lang w:val="en-US" w:eastAsia="fr-FR" w:bidi="he-IL"/>
        </w:rPr>
        <w:t xml:space="preserve">McWilliam &amp; </w:t>
      </w:r>
      <w:proofErr w:type="spellStart"/>
      <w:r w:rsidRPr="00D806D9">
        <w:rPr>
          <w:rFonts w:asciiTheme="majorBidi" w:eastAsia="Times New Roman" w:hAnsiTheme="majorBidi" w:cstheme="majorBidi"/>
          <w:color w:val="000000"/>
          <w:sz w:val="24"/>
          <w:szCs w:val="24"/>
          <w:lang w:val="en-US" w:eastAsia="fr-FR" w:bidi="he-IL"/>
        </w:rPr>
        <w:t>Zachmann</w:t>
      </w:r>
      <w:proofErr w:type="spellEnd"/>
      <w:r w:rsidRPr="00D806D9">
        <w:rPr>
          <w:rFonts w:asciiTheme="majorBidi" w:eastAsia="Times New Roman" w:hAnsiTheme="majorBidi" w:cstheme="majorBidi"/>
          <w:color w:val="000000"/>
          <w:sz w:val="24"/>
          <w:szCs w:val="24"/>
          <w:lang w:val="en-US" w:eastAsia="fr-FR" w:bidi="he-IL"/>
        </w:rPr>
        <w:t>, 2021</w:t>
      </w:r>
      <w:bookmarkEnd w:id="20"/>
      <w:r w:rsidRPr="00D806D9">
        <w:rPr>
          <w:rFonts w:asciiTheme="majorBidi" w:eastAsia="Times New Roman" w:hAnsiTheme="majorBidi" w:cstheme="majorBidi"/>
          <w:color w:val="000000"/>
          <w:sz w:val="24"/>
          <w:szCs w:val="24"/>
          <w:lang w:val="en-US" w:eastAsia="fr-FR" w:bidi="he-IL"/>
        </w:rPr>
        <w:t>, p.5) If this evolution needs careful consideration and balance with other elements of public policy, it is the aim of the EU-ETS since its inception: increasing costs for polluting technologies to foster technological change. The implications on the overall EU economy prices over the next decades of a more stringent carbon price policy should probably be evaluated to determine where it would be more efficient to act, for all four efficiencies including the environmental one.</w:t>
      </w:r>
    </w:p>
    <w:p w14:paraId="440B8895" w14:textId="1E3EC2B3" w:rsidR="007C5335" w:rsidRPr="00D806D9" w:rsidRDefault="007C5335" w:rsidP="00D806D9">
      <w:pPr>
        <w:spacing w:after="0" w:line="480" w:lineRule="auto"/>
        <w:ind w:firstLine="708"/>
        <w:jc w:val="both"/>
        <w:rPr>
          <w:rFonts w:asciiTheme="majorBidi" w:hAnsiTheme="majorBidi" w:cstheme="majorBidi"/>
          <w:sz w:val="24"/>
          <w:szCs w:val="24"/>
          <w:shd w:val="clear" w:color="auto" w:fill="FFFFFF"/>
          <w:lang w:val="en-US"/>
        </w:rPr>
      </w:pPr>
      <w:r w:rsidRPr="00D806D9">
        <w:rPr>
          <w:rFonts w:asciiTheme="majorBidi" w:eastAsia="Times New Roman" w:hAnsiTheme="majorBidi" w:cstheme="majorBidi"/>
          <w:color w:val="000000"/>
          <w:sz w:val="24"/>
          <w:szCs w:val="24"/>
          <w:lang w:val="en-US" w:eastAsia="fr-FR" w:bidi="he-IL"/>
        </w:rPr>
        <w:t>Finally, multiple studies note problems in data acquisition, access, and time lag urging for improvements so that more precise evaluations could be conducted (</w:t>
      </w:r>
      <w:r w:rsidR="007B3FB6" w:rsidRPr="00D806D9">
        <w:rPr>
          <w:rFonts w:asciiTheme="majorBidi" w:eastAsia="Times New Roman" w:hAnsiTheme="majorBidi" w:cstheme="majorBidi"/>
          <w:color w:val="000000"/>
          <w:sz w:val="24"/>
          <w:szCs w:val="24"/>
          <w:lang w:val="en-US" w:eastAsia="fr-FR" w:bidi="he-IL"/>
        </w:rPr>
        <w:t>e.g.,</w:t>
      </w:r>
      <w:r w:rsidRPr="00D806D9">
        <w:rPr>
          <w:rFonts w:asciiTheme="majorBidi" w:eastAsia="Times New Roman" w:hAnsiTheme="majorBidi" w:cstheme="majorBidi"/>
          <w:color w:val="000000"/>
          <w:sz w:val="24"/>
          <w:szCs w:val="24"/>
          <w:lang w:val="en-US" w:eastAsia="fr-FR" w:bidi="he-IL"/>
        </w:rPr>
        <w:t xml:space="preserve"> </w:t>
      </w:r>
      <w:proofErr w:type="spellStart"/>
      <w:r w:rsidRPr="00D806D9">
        <w:rPr>
          <w:rFonts w:asciiTheme="majorBidi" w:eastAsia="Times New Roman" w:hAnsiTheme="majorBidi" w:cstheme="majorBidi"/>
          <w:color w:val="000000"/>
          <w:sz w:val="24"/>
          <w:szCs w:val="24"/>
          <w:lang w:val="en-US" w:eastAsia="fr-FR" w:bidi="he-IL"/>
        </w:rPr>
        <w:t>Teixidó</w:t>
      </w:r>
      <w:proofErr w:type="spellEnd"/>
      <w:r w:rsidRPr="00D806D9">
        <w:rPr>
          <w:rFonts w:asciiTheme="majorBidi" w:eastAsia="Times New Roman" w:hAnsiTheme="majorBidi" w:cstheme="majorBidi"/>
          <w:color w:val="000000"/>
          <w:sz w:val="24"/>
          <w:szCs w:val="24"/>
          <w:lang w:val="en-US" w:eastAsia="fr-FR" w:bidi="he-IL"/>
        </w:rPr>
        <w:t xml:space="preserve"> et al., 2019). Nonetheless, it is clear that “neither carbon pricing nor a binding climate treaty are viable strategies to stabilize the planet’s climate. Both proposals reshape incentives to pollute” (</w:t>
      </w:r>
      <w:proofErr w:type="spellStart"/>
      <w:r w:rsidR="007B3FB6" w:rsidRPr="00D806D9">
        <w:rPr>
          <w:rFonts w:asciiTheme="majorBidi" w:hAnsiTheme="majorBidi" w:cstheme="majorBidi"/>
          <w:sz w:val="24"/>
          <w:szCs w:val="24"/>
          <w:lang w:val="en-US"/>
        </w:rPr>
        <w:t>Mildenberger</w:t>
      </w:r>
      <w:proofErr w:type="spellEnd"/>
      <w:r w:rsidRPr="00D806D9">
        <w:rPr>
          <w:rFonts w:asciiTheme="majorBidi" w:eastAsia="Times New Roman" w:hAnsiTheme="majorBidi" w:cstheme="majorBidi"/>
          <w:color w:val="000000"/>
          <w:sz w:val="24"/>
          <w:szCs w:val="24"/>
          <w:lang w:val="en-US" w:eastAsia="fr-FR" w:bidi="he-IL"/>
        </w:rPr>
        <w:t>, 2020, p.236)</w:t>
      </w:r>
      <w:r w:rsidR="007E4C0D" w:rsidRPr="00D806D9">
        <w:rPr>
          <w:rFonts w:asciiTheme="majorBidi" w:eastAsia="Times New Roman" w:hAnsiTheme="majorBidi" w:cstheme="majorBidi"/>
          <w:color w:val="000000"/>
          <w:sz w:val="24"/>
          <w:szCs w:val="24"/>
          <w:lang w:val="en-US" w:eastAsia="fr-FR" w:bidi="he-IL"/>
        </w:rPr>
        <w:t xml:space="preserve"> or “optimal levels of pollution” (</w:t>
      </w:r>
      <w:r w:rsidR="007E4C0D" w:rsidRPr="00D806D9">
        <w:rPr>
          <w:rFonts w:asciiTheme="majorBidi" w:hAnsiTheme="majorBidi" w:cstheme="majorBidi"/>
          <w:sz w:val="24"/>
          <w:szCs w:val="24"/>
          <w:lang w:val="en-US"/>
        </w:rPr>
        <w:t>Faure &amp; Partain, 2019</w:t>
      </w:r>
      <w:r w:rsidR="007E4C0D" w:rsidRPr="00D806D9">
        <w:rPr>
          <w:rFonts w:asciiTheme="majorBidi" w:eastAsia="Times New Roman" w:hAnsiTheme="majorBidi" w:cstheme="majorBidi"/>
          <w:color w:val="000000"/>
          <w:sz w:val="24"/>
          <w:szCs w:val="24"/>
          <w:lang w:val="en-US" w:eastAsia="fr-FR" w:bidi="he-IL"/>
        </w:rPr>
        <w:t>, p.28)</w:t>
      </w:r>
      <w:r w:rsidR="00A811D0">
        <w:rPr>
          <w:rFonts w:asciiTheme="majorBidi" w:eastAsia="Times New Roman" w:hAnsiTheme="majorBidi" w:cstheme="majorBidi"/>
          <w:color w:val="000000"/>
          <w:sz w:val="24"/>
          <w:szCs w:val="24"/>
          <w:lang w:val="en-US" w:eastAsia="fr-FR" w:bidi="he-IL"/>
        </w:rPr>
        <w:t>,</w:t>
      </w:r>
      <w:r w:rsidR="007E4C0D" w:rsidRPr="00D806D9">
        <w:rPr>
          <w:rFonts w:asciiTheme="majorBidi" w:eastAsia="Times New Roman" w:hAnsiTheme="majorBidi" w:cstheme="majorBidi"/>
          <w:color w:val="000000"/>
          <w:sz w:val="24"/>
          <w:szCs w:val="24"/>
          <w:lang w:val="en-US" w:eastAsia="fr-FR" w:bidi="he-IL"/>
        </w:rPr>
        <w:t xml:space="preserve"> which are environmental nonsense.</w:t>
      </w:r>
    </w:p>
    <w:p w14:paraId="5F98A369" w14:textId="2DB72CFD" w:rsidR="00033CF9" w:rsidRPr="00D806D9" w:rsidRDefault="00033CF9" w:rsidP="00D806D9">
      <w:pPr>
        <w:spacing w:after="0" w:line="480" w:lineRule="auto"/>
        <w:jc w:val="both"/>
        <w:rPr>
          <w:rFonts w:asciiTheme="majorBidi" w:eastAsia="Times New Roman" w:hAnsiTheme="majorBidi" w:cstheme="majorBidi"/>
          <w:color w:val="000000"/>
          <w:sz w:val="24"/>
          <w:szCs w:val="24"/>
          <w:lang w:val="en-US" w:eastAsia="fr-FR" w:bidi="he-IL"/>
        </w:rPr>
      </w:pPr>
    </w:p>
    <w:p w14:paraId="2FE223A7" w14:textId="2002721C" w:rsidR="00B20DBD" w:rsidRPr="00D806D9" w:rsidRDefault="00B20DBD" w:rsidP="00D806D9">
      <w:pPr>
        <w:spacing w:after="0" w:line="480" w:lineRule="auto"/>
        <w:ind w:left="1413" w:hanging="705"/>
        <w:jc w:val="both"/>
        <w:textAlignment w:val="baseline"/>
        <w:rPr>
          <w:rFonts w:asciiTheme="majorBidi" w:eastAsia="Times New Roman" w:hAnsiTheme="majorBidi" w:cstheme="majorBidi"/>
          <w:color w:val="FF0000"/>
          <w:sz w:val="24"/>
          <w:szCs w:val="24"/>
          <w:lang w:val="en-US" w:eastAsia="fr-FR" w:bidi="he-IL"/>
        </w:rPr>
      </w:pPr>
      <w:r w:rsidRPr="00D806D9">
        <w:rPr>
          <w:rFonts w:asciiTheme="majorBidi" w:hAnsiTheme="majorBidi" w:cstheme="majorBidi"/>
          <w:b/>
          <w:bCs/>
          <w:sz w:val="24"/>
          <w:szCs w:val="24"/>
          <w:lang w:val="en-US"/>
        </w:rPr>
        <w:t>5.3.2.</w:t>
      </w:r>
      <w:r w:rsidRPr="00D806D9">
        <w:rPr>
          <w:rFonts w:asciiTheme="majorBidi" w:hAnsiTheme="majorBidi" w:cstheme="majorBidi"/>
          <w:b/>
          <w:bCs/>
          <w:sz w:val="24"/>
          <w:szCs w:val="24"/>
          <w:lang w:val="en-US"/>
        </w:rPr>
        <w:tab/>
        <w:t>Energy</w:t>
      </w:r>
      <w:r w:rsidR="00270969" w:rsidRPr="00D806D9">
        <w:rPr>
          <w:rFonts w:asciiTheme="majorBidi" w:hAnsiTheme="majorBidi" w:cstheme="majorBidi"/>
          <w:b/>
          <w:bCs/>
          <w:sz w:val="24"/>
          <w:szCs w:val="24"/>
          <w:lang w:val="en-US"/>
        </w:rPr>
        <w:t xml:space="preserve"> and climate change understanding for an</w:t>
      </w:r>
      <w:r w:rsidRPr="00D806D9">
        <w:rPr>
          <w:rFonts w:asciiTheme="majorBidi" w:hAnsiTheme="majorBidi" w:cstheme="majorBidi"/>
          <w:b/>
          <w:bCs/>
          <w:sz w:val="24"/>
          <w:szCs w:val="24"/>
          <w:lang w:val="en-US"/>
        </w:rPr>
        <w:t xml:space="preserve"> immediate environmental response</w:t>
      </w:r>
      <w:r w:rsidR="00F13C3F" w:rsidRPr="00D806D9">
        <w:rPr>
          <w:rFonts w:asciiTheme="majorBidi" w:hAnsiTheme="majorBidi" w:cstheme="majorBidi"/>
          <w:b/>
          <w:bCs/>
          <w:sz w:val="24"/>
          <w:szCs w:val="24"/>
          <w:lang w:val="en-US"/>
        </w:rPr>
        <w:t>: energy sufficiency planification</w:t>
      </w:r>
    </w:p>
    <w:p w14:paraId="117E85D4" w14:textId="77777777" w:rsidR="00B20DBD" w:rsidRPr="00D806D9" w:rsidRDefault="00B20DBD" w:rsidP="00D806D9">
      <w:pPr>
        <w:spacing w:after="0" w:line="480" w:lineRule="auto"/>
        <w:jc w:val="both"/>
        <w:textAlignment w:val="baseline"/>
        <w:rPr>
          <w:rFonts w:asciiTheme="majorBidi" w:hAnsiTheme="majorBidi" w:cstheme="majorBidi"/>
          <w:b/>
          <w:bCs/>
          <w:sz w:val="24"/>
          <w:szCs w:val="24"/>
          <w:lang w:val="en-US"/>
        </w:rPr>
      </w:pPr>
    </w:p>
    <w:p w14:paraId="01CFD14A" w14:textId="14237B5A" w:rsidR="00B20DBD" w:rsidRPr="00D806D9" w:rsidRDefault="00EF139A" w:rsidP="00D806D9">
      <w:pPr>
        <w:spacing w:after="0" w:line="480" w:lineRule="auto"/>
        <w:ind w:firstLine="708"/>
        <w:jc w:val="both"/>
        <w:textAlignment w:val="baseline"/>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Energy</w:t>
      </w:r>
      <w:r w:rsidR="00B20DBD" w:rsidRPr="00D806D9">
        <w:rPr>
          <w:rFonts w:asciiTheme="majorBidi" w:eastAsia="Times New Roman" w:hAnsiTheme="majorBidi" w:cstheme="majorBidi"/>
          <w:color w:val="000000"/>
          <w:sz w:val="24"/>
          <w:szCs w:val="24"/>
          <w:lang w:val="en-US" w:eastAsia="fr-FR" w:bidi="he-IL"/>
        </w:rPr>
        <w:t xml:space="preserve"> system</w:t>
      </w:r>
      <w:r w:rsidRPr="00D806D9">
        <w:rPr>
          <w:rFonts w:asciiTheme="majorBidi" w:eastAsia="Times New Roman" w:hAnsiTheme="majorBidi" w:cstheme="majorBidi"/>
          <w:color w:val="000000"/>
          <w:sz w:val="24"/>
          <w:szCs w:val="24"/>
          <w:lang w:val="en-US" w:eastAsia="fr-FR" w:bidi="he-IL"/>
        </w:rPr>
        <w:t>s have</w:t>
      </w:r>
      <w:r w:rsidR="00B20DBD" w:rsidRPr="00D806D9">
        <w:rPr>
          <w:rFonts w:asciiTheme="majorBidi" w:eastAsia="Times New Roman" w:hAnsiTheme="majorBidi" w:cstheme="majorBidi"/>
          <w:color w:val="000000"/>
          <w:sz w:val="24"/>
          <w:szCs w:val="24"/>
          <w:lang w:val="en-US" w:eastAsia="fr-FR" w:bidi="he-IL"/>
        </w:rPr>
        <w:t xml:space="preserve"> never </w:t>
      </w:r>
      <w:r w:rsidRPr="00D806D9">
        <w:rPr>
          <w:rFonts w:asciiTheme="majorBidi" w:eastAsia="Times New Roman" w:hAnsiTheme="majorBidi" w:cstheme="majorBidi"/>
          <w:color w:val="000000"/>
          <w:sz w:val="24"/>
          <w:szCs w:val="24"/>
          <w:lang w:val="en-US" w:eastAsia="fr-FR" w:bidi="he-IL"/>
        </w:rPr>
        <w:t xml:space="preserve">experienced </w:t>
      </w:r>
      <w:r w:rsidR="00B20DBD" w:rsidRPr="00D806D9">
        <w:rPr>
          <w:rFonts w:asciiTheme="majorBidi" w:eastAsia="Times New Roman" w:hAnsiTheme="majorBidi" w:cstheme="majorBidi"/>
          <w:color w:val="000000"/>
          <w:sz w:val="24"/>
          <w:szCs w:val="24"/>
          <w:lang w:val="en-US" w:eastAsia="fr-FR" w:bidi="he-IL"/>
        </w:rPr>
        <w:t xml:space="preserve">a transformation comparable to the one </w:t>
      </w:r>
      <w:r w:rsidRPr="00D806D9">
        <w:rPr>
          <w:rFonts w:asciiTheme="majorBidi" w:eastAsia="Times New Roman" w:hAnsiTheme="majorBidi" w:cstheme="majorBidi"/>
          <w:color w:val="000000"/>
          <w:sz w:val="24"/>
          <w:szCs w:val="24"/>
          <w:lang w:val="en-US" w:eastAsia="fr-FR" w:bidi="he-IL"/>
        </w:rPr>
        <w:t>they are</w:t>
      </w:r>
      <w:r w:rsidR="00B20DBD" w:rsidRPr="00D806D9">
        <w:rPr>
          <w:rFonts w:asciiTheme="majorBidi" w:eastAsia="Times New Roman" w:hAnsiTheme="majorBidi" w:cstheme="majorBidi"/>
          <w:color w:val="000000"/>
          <w:sz w:val="24"/>
          <w:szCs w:val="24"/>
          <w:lang w:val="en-US" w:eastAsia="fr-FR" w:bidi="he-IL"/>
        </w:rPr>
        <w:t xml:space="preserve"> facing now. </w:t>
      </w:r>
      <w:r w:rsidRPr="00D806D9">
        <w:rPr>
          <w:rFonts w:asciiTheme="majorBidi" w:eastAsia="Times New Roman" w:hAnsiTheme="majorBidi" w:cstheme="majorBidi"/>
          <w:color w:val="000000"/>
          <w:sz w:val="24"/>
          <w:szCs w:val="24"/>
          <w:lang w:val="en-US" w:eastAsia="fr-FR" w:bidi="he-IL"/>
        </w:rPr>
        <w:t>A</w:t>
      </w:r>
      <w:r w:rsidR="00B20DBD" w:rsidRPr="00D806D9">
        <w:rPr>
          <w:rFonts w:asciiTheme="majorBidi" w:eastAsia="Times New Roman" w:hAnsiTheme="majorBidi" w:cstheme="majorBidi"/>
          <w:color w:val="000000"/>
          <w:sz w:val="24"/>
          <w:szCs w:val="24"/>
          <w:lang w:val="en-US" w:eastAsia="fr-FR" w:bidi="he-IL"/>
        </w:rPr>
        <w:t>dditivity characterized energy systems for two centuries</w:t>
      </w:r>
      <w:r w:rsidR="00691B7F" w:rsidRPr="00D806D9">
        <w:rPr>
          <w:rFonts w:asciiTheme="majorBidi" w:eastAsia="Times New Roman" w:hAnsiTheme="majorBidi" w:cstheme="majorBidi"/>
          <w:color w:val="000000"/>
          <w:sz w:val="24"/>
          <w:szCs w:val="24"/>
          <w:lang w:val="en-US" w:eastAsia="fr-FR" w:bidi="he-IL"/>
        </w:rPr>
        <w:t xml:space="preserve"> (</w:t>
      </w:r>
      <w:proofErr w:type="spellStart"/>
      <w:r w:rsidR="00691B7F" w:rsidRPr="00D806D9">
        <w:rPr>
          <w:rFonts w:asciiTheme="majorBidi" w:eastAsia="Times New Roman" w:hAnsiTheme="majorBidi" w:cstheme="majorBidi"/>
          <w:sz w:val="24"/>
          <w:szCs w:val="24"/>
          <w:lang w:val="en-US" w:eastAsia="fr-FR" w:bidi="he-IL"/>
        </w:rPr>
        <w:t>Fressoz</w:t>
      </w:r>
      <w:proofErr w:type="spellEnd"/>
      <w:r w:rsidR="00691B7F" w:rsidRPr="00D806D9">
        <w:rPr>
          <w:rFonts w:asciiTheme="majorBidi" w:eastAsia="Times New Roman" w:hAnsiTheme="majorBidi" w:cstheme="majorBidi"/>
          <w:sz w:val="24"/>
          <w:szCs w:val="24"/>
          <w:lang w:val="en-US" w:eastAsia="fr-FR" w:bidi="he-IL"/>
        </w:rPr>
        <w:t xml:space="preserve"> </w:t>
      </w:r>
      <w:r w:rsidR="00691B7F" w:rsidRPr="00D806D9">
        <w:rPr>
          <w:rFonts w:asciiTheme="majorBidi" w:eastAsia="Times New Roman" w:hAnsiTheme="majorBidi" w:cstheme="majorBidi"/>
          <w:sz w:val="24"/>
          <w:szCs w:val="24"/>
          <w:lang w:val="en-US" w:eastAsia="fr-FR" w:bidi="he-IL"/>
        </w:rPr>
        <w:lastRenderedPageBreak/>
        <w:t xml:space="preserve">&amp; </w:t>
      </w:r>
      <w:proofErr w:type="spellStart"/>
      <w:r w:rsidR="00691B7F" w:rsidRPr="00D806D9">
        <w:rPr>
          <w:rFonts w:asciiTheme="majorBidi" w:eastAsia="Times New Roman" w:hAnsiTheme="majorBidi" w:cstheme="majorBidi"/>
          <w:sz w:val="24"/>
          <w:szCs w:val="24"/>
          <w:lang w:val="en-US" w:eastAsia="fr-FR" w:bidi="he-IL"/>
        </w:rPr>
        <w:t>Locher</w:t>
      </w:r>
      <w:proofErr w:type="spellEnd"/>
      <w:r w:rsidR="00691B7F" w:rsidRPr="00D806D9">
        <w:rPr>
          <w:rFonts w:asciiTheme="majorBidi" w:eastAsia="Times New Roman" w:hAnsiTheme="majorBidi" w:cstheme="majorBidi"/>
          <w:sz w:val="24"/>
          <w:szCs w:val="24"/>
          <w:lang w:val="en-US" w:eastAsia="fr-FR" w:bidi="he-IL"/>
        </w:rPr>
        <w:t>, 2020)</w:t>
      </w:r>
      <w:r w:rsidR="00B20DBD" w:rsidRPr="00D806D9">
        <w:rPr>
          <w:rFonts w:asciiTheme="majorBidi" w:eastAsia="Times New Roman" w:hAnsiTheme="majorBidi" w:cstheme="majorBidi"/>
          <w:color w:val="000000"/>
          <w:sz w:val="24"/>
          <w:szCs w:val="24"/>
          <w:lang w:val="en-US" w:eastAsia="fr-FR" w:bidi="he-IL"/>
        </w:rPr>
        <w:t xml:space="preserve"> explaining why the global </w:t>
      </w:r>
      <w:r w:rsidR="00151723">
        <w:rPr>
          <w:rFonts w:asciiTheme="majorBidi" w:eastAsia="Times New Roman" w:hAnsiTheme="majorBidi" w:cstheme="majorBidi"/>
          <w:color w:val="000000"/>
          <w:sz w:val="24"/>
          <w:szCs w:val="24"/>
          <w:lang w:val="en-US" w:eastAsia="fr-FR" w:bidi="he-IL"/>
        </w:rPr>
        <w:t>share</w:t>
      </w:r>
      <w:r w:rsidR="00B20DBD" w:rsidRPr="00D806D9">
        <w:rPr>
          <w:rFonts w:asciiTheme="majorBidi" w:eastAsia="Times New Roman" w:hAnsiTheme="majorBidi" w:cstheme="majorBidi"/>
          <w:color w:val="000000"/>
          <w:sz w:val="24"/>
          <w:szCs w:val="24"/>
          <w:lang w:val="en-US" w:eastAsia="fr-FR" w:bidi="he-IL"/>
        </w:rPr>
        <w:t xml:space="preserve"> of renewables is still at 80% today as it was in 1990</w:t>
      </w:r>
      <w:r w:rsidR="00A811D0">
        <w:rPr>
          <w:rFonts w:asciiTheme="majorBidi" w:eastAsia="Times New Roman" w:hAnsiTheme="majorBidi" w:cstheme="majorBidi"/>
          <w:color w:val="000000"/>
          <w:sz w:val="24"/>
          <w:szCs w:val="24"/>
          <w:lang w:val="en-US" w:eastAsia="fr-FR" w:bidi="he-IL"/>
        </w:rPr>
        <w:t>,</w:t>
      </w:r>
      <w:r w:rsidR="00B20DBD" w:rsidRPr="00D806D9">
        <w:rPr>
          <w:rFonts w:asciiTheme="majorBidi" w:eastAsia="Times New Roman" w:hAnsiTheme="majorBidi" w:cstheme="majorBidi"/>
          <w:color w:val="000000"/>
          <w:sz w:val="24"/>
          <w:szCs w:val="24"/>
          <w:lang w:val="en-US" w:eastAsia="fr-FR" w:bidi="he-IL"/>
        </w:rPr>
        <w:t xml:space="preserve"> </w:t>
      </w:r>
      <w:r w:rsidR="007B3FB6" w:rsidRPr="00D806D9">
        <w:rPr>
          <w:rFonts w:asciiTheme="majorBidi" w:eastAsia="Times New Roman" w:hAnsiTheme="majorBidi" w:cstheme="majorBidi"/>
          <w:color w:val="000000"/>
          <w:sz w:val="24"/>
          <w:szCs w:val="24"/>
          <w:lang w:val="en-US" w:eastAsia="fr-FR" w:bidi="he-IL"/>
        </w:rPr>
        <w:t>even though</w:t>
      </w:r>
      <w:r w:rsidR="00B20DBD" w:rsidRPr="00D806D9">
        <w:rPr>
          <w:rFonts w:asciiTheme="majorBidi" w:eastAsia="Times New Roman" w:hAnsiTheme="majorBidi" w:cstheme="majorBidi"/>
          <w:color w:val="000000"/>
          <w:sz w:val="24"/>
          <w:szCs w:val="24"/>
          <w:lang w:val="en-US" w:eastAsia="fr-FR" w:bidi="he-IL"/>
        </w:rPr>
        <w:t xml:space="preserve"> energy production</w:t>
      </w:r>
      <w:r w:rsidRPr="00D806D9">
        <w:rPr>
          <w:rFonts w:asciiTheme="majorBidi" w:eastAsia="Times New Roman" w:hAnsiTheme="majorBidi" w:cstheme="majorBidi"/>
          <w:color w:val="000000"/>
          <w:sz w:val="24"/>
          <w:szCs w:val="24"/>
          <w:lang w:val="en-US" w:eastAsia="fr-FR" w:bidi="he-IL"/>
        </w:rPr>
        <w:t xml:space="preserve">, </w:t>
      </w:r>
      <w:r w:rsidR="00B20DBD" w:rsidRPr="00D806D9">
        <w:rPr>
          <w:rFonts w:asciiTheme="majorBidi" w:eastAsia="Times New Roman" w:hAnsiTheme="majorBidi" w:cstheme="majorBidi"/>
          <w:color w:val="000000"/>
          <w:sz w:val="24"/>
          <w:szCs w:val="24"/>
          <w:lang w:val="en-US" w:eastAsia="fr-FR" w:bidi="he-IL"/>
        </w:rPr>
        <w:t>consumption</w:t>
      </w:r>
      <w:r w:rsidR="00151723">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and renewables absolute volume</w:t>
      </w:r>
      <w:r w:rsidR="00B20DBD" w:rsidRPr="00D806D9">
        <w:rPr>
          <w:rFonts w:asciiTheme="majorBidi" w:eastAsia="Times New Roman" w:hAnsiTheme="majorBidi" w:cstheme="majorBidi"/>
          <w:color w:val="000000"/>
          <w:sz w:val="24"/>
          <w:szCs w:val="24"/>
          <w:lang w:val="en-US" w:eastAsia="fr-FR" w:bidi="he-IL"/>
        </w:rPr>
        <w:t xml:space="preserve"> have drastically increased since then. If this transformation process is widely referred to as energy transition, it </w:t>
      </w:r>
      <w:r w:rsidR="007B3FB6" w:rsidRPr="00D806D9">
        <w:rPr>
          <w:rFonts w:asciiTheme="majorBidi" w:eastAsia="Times New Roman" w:hAnsiTheme="majorBidi" w:cstheme="majorBidi"/>
          <w:color w:val="000000"/>
          <w:sz w:val="24"/>
          <w:szCs w:val="24"/>
          <w:lang w:val="en-US" w:eastAsia="fr-FR" w:bidi="he-IL"/>
        </w:rPr>
        <w:t>corresponds</w:t>
      </w:r>
      <w:r w:rsidR="00B20DBD" w:rsidRPr="00D806D9">
        <w:rPr>
          <w:rFonts w:asciiTheme="majorBidi" w:eastAsia="Times New Roman" w:hAnsiTheme="majorBidi" w:cstheme="majorBidi"/>
          <w:color w:val="000000"/>
          <w:sz w:val="24"/>
          <w:szCs w:val="24"/>
          <w:lang w:val="en-US" w:eastAsia="fr-FR" w:bidi="he-IL"/>
        </w:rPr>
        <w:t xml:space="preserve"> to a substitution: the one to replace fossil fuels </w:t>
      </w:r>
      <w:r w:rsidR="00151723">
        <w:rPr>
          <w:rFonts w:asciiTheme="majorBidi" w:eastAsia="Times New Roman" w:hAnsiTheme="majorBidi" w:cstheme="majorBidi"/>
          <w:color w:val="000000"/>
          <w:sz w:val="24"/>
          <w:szCs w:val="24"/>
          <w:lang w:val="en-US" w:eastAsia="fr-FR" w:bidi="he-IL"/>
        </w:rPr>
        <w:t>with</w:t>
      </w:r>
      <w:r w:rsidR="00B20DBD"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t>other</w:t>
      </w:r>
      <w:r w:rsidR="00B20DBD" w:rsidRPr="00D806D9">
        <w:rPr>
          <w:rFonts w:asciiTheme="majorBidi" w:eastAsia="Times New Roman" w:hAnsiTheme="majorBidi" w:cstheme="majorBidi"/>
          <w:color w:val="000000"/>
          <w:sz w:val="24"/>
          <w:szCs w:val="24"/>
          <w:lang w:val="en-US" w:eastAsia="fr-FR" w:bidi="he-IL"/>
        </w:rPr>
        <w:t xml:space="preserve"> energy sources. This process entails GHGE and further environmental damages as it shifts the productive pressure from the wells to other spaces like mines.</w:t>
      </w:r>
    </w:p>
    <w:p w14:paraId="59E1D2EE" w14:textId="19964852" w:rsidR="00C81E60" w:rsidRPr="00D806D9" w:rsidRDefault="00B20DBD" w:rsidP="00D806D9">
      <w:pPr>
        <w:spacing w:after="0" w:line="48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ab/>
      </w:r>
      <w:r w:rsidR="00270969" w:rsidRPr="00D806D9">
        <w:rPr>
          <w:rFonts w:asciiTheme="majorBidi" w:eastAsia="Times New Roman" w:hAnsiTheme="majorBidi" w:cstheme="majorBidi"/>
          <w:color w:val="000000"/>
          <w:sz w:val="24"/>
          <w:szCs w:val="24"/>
          <w:lang w:val="en-US" w:eastAsia="fr-FR" w:bidi="he-IL"/>
        </w:rPr>
        <w:t>To bring a solution to climate change</w:t>
      </w:r>
      <w:r w:rsidR="00F36C72">
        <w:rPr>
          <w:rFonts w:asciiTheme="majorBidi" w:eastAsia="Times New Roman" w:hAnsiTheme="majorBidi" w:cstheme="majorBidi"/>
          <w:color w:val="000000"/>
          <w:sz w:val="24"/>
          <w:szCs w:val="24"/>
          <w:lang w:val="en-US" w:eastAsia="fr-FR" w:bidi="he-IL"/>
        </w:rPr>
        <w:t>,</w:t>
      </w:r>
      <w:r w:rsidR="00240B4D" w:rsidRPr="00D806D9">
        <w:rPr>
          <w:rFonts w:asciiTheme="majorBidi" w:eastAsia="Times New Roman" w:hAnsiTheme="majorBidi" w:cstheme="majorBidi"/>
          <w:color w:val="000000"/>
          <w:sz w:val="24"/>
          <w:szCs w:val="24"/>
          <w:lang w:val="en-US" w:eastAsia="fr-FR" w:bidi="he-IL"/>
        </w:rPr>
        <w:t xml:space="preserve"> which is still heavily fueled by GHGE (</w:t>
      </w:r>
      <w:proofErr w:type="spellStart"/>
      <w:r w:rsidR="00240B4D" w:rsidRPr="00D806D9">
        <w:rPr>
          <w:rFonts w:asciiTheme="majorBidi" w:hAnsiTheme="majorBidi" w:cstheme="majorBidi"/>
          <w:sz w:val="24"/>
          <w:szCs w:val="24"/>
          <w:lang w:val="en-US"/>
        </w:rPr>
        <w:t>Kühne</w:t>
      </w:r>
      <w:proofErr w:type="spellEnd"/>
      <w:r w:rsidR="00240B4D" w:rsidRPr="00D806D9">
        <w:rPr>
          <w:rFonts w:asciiTheme="majorBidi" w:hAnsiTheme="majorBidi" w:cstheme="majorBidi"/>
          <w:sz w:val="24"/>
          <w:szCs w:val="24"/>
          <w:lang w:val="en-US"/>
        </w:rPr>
        <w:t xml:space="preserve"> et al., 2022)</w:t>
      </w:r>
      <w:r w:rsidR="00240B4D"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t>a paradigmatic shift is required</w:t>
      </w:r>
      <w:r w:rsidR="00270969" w:rsidRPr="00D806D9">
        <w:rPr>
          <w:rFonts w:asciiTheme="majorBidi" w:eastAsia="Times New Roman" w:hAnsiTheme="majorBidi" w:cstheme="majorBidi"/>
          <w:color w:val="000000"/>
          <w:sz w:val="24"/>
          <w:szCs w:val="24"/>
          <w:lang w:val="en-US" w:eastAsia="fr-FR" w:bidi="he-IL"/>
        </w:rPr>
        <w:t>. S</w:t>
      </w:r>
      <w:r w:rsidRPr="00D806D9">
        <w:rPr>
          <w:rFonts w:asciiTheme="majorBidi" w:eastAsia="Times New Roman" w:hAnsiTheme="majorBidi" w:cstheme="majorBidi"/>
          <w:color w:val="000000"/>
          <w:sz w:val="24"/>
          <w:szCs w:val="24"/>
          <w:lang w:val="en-US" w:eastAsia="fr-FR" w:bidi="he-IL"/>
        </w:rPr>
        <w:t xml:space="preserve">trong sustainability </w:t>
      </w:r>
      <w:r w:rsidR="007B3FB6">
        <w:rPr>
          <w:rFonts w:asciiTheme="majorBidi" w:eastAsia="Times New Roman" w:hAnsiTheme="majorBidi" w:cstheme="majorBidi"/>
          <w:color w:val="000000"/>
          <w:sz w:val="24"/>
          <w:szCs w:val="24"/>
          <w:lang w:val="en-US" w:eastAsia="fr-FR" w:bidi="he-IL"/>
        </w:rPr>
        <w:t>must</w:t>
      </w:r>
      <w:r w:rsidRPr="00D806D9">
        <w:rPr>
          <w:rFonts w:asciiTheme="majorBidi" w:eastAsia="Times New Roman" w:hAnsiTheme="majorBidi" w:cstheme="majorBidi"/>
          <w:color w:val="000000"/>
          <w:sz w:val="24"/>
          <w:szCs w:val="24"/>
          <w:lang w:val="en-US" w:eastAsia="fr-FR" w:bidi="he-IL"/>
        </w:rPr>
        <w:t xml:space="preserve"> be incorporated at all levels. Energy is not produced but extracted</w:t>
      </w:r>
      <w:r w:rsidRPr="00D806D9">
        <w:rPr>
          <w:rFonts w:eastAsia="Times New Roman"/>
          <w:color w:val="000000"/>
          <w:sz w:val="24"/>
          <w:szCs w:val="24"/>
          <w:vertAlign w:val="superscript"/>
          <w:lang w:val="en-US" w:eastAsia="fr-FR" w:bidi="he-IL"/>
        </w:rPr>
        <w:footnoteReference w:id="6"/>
      </w:r>
      <w:r w:rsidR="00F36C72">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and climate change </w:t>
      </w:r>
      <w:r w:rsidR="007B3FB6">
        <w:rPr>
          <w:rFonts w:asciiTheme="majorBidi" w:eastAsia="Times New Roman" w:hAnsiTheme="majorBidi" w:cstheme="majorBidi"/>
          <w:color w:val="000000"/>
          <w:sz w:val="24"/>
          <w:szCs w:val="24"/>
          <w:lang w:val="en-US" w:eastAsia="fr-FR" w:bidi="he-IL"/>
        </w:rPr>
        <w:t>brings</w:t>
      </w:r>
      <w:r w:rsidRPr="00D806D9">
        <w:rPr>
          <w:rFonts w:asciiTheme="majorBidi" w:eastAsia="Times New Roman" w:hAnsiTheme="majorBidi" w:cstheme="majorBidi"/>
          <w:color w:val="000000"/>
          <w:sz w:val="24"/>
          <w:szCs w:val="24"/>
          <w:lang w:val="en-US" w:eastAsia="fr-FR" w:bidi="he-IL"/>
        </w:rPr>
        <w:t xml:space="preserve"> risks</w:t>
      </w:r>
      <w:r w:rsidR="00270969" w:rsidRPr="00D806D9">
        <w:rPr>
          <w:rFonts w:asciiTheme="majorBidi" w:eastAsia="Times New Roman" w:hAnsiTheme="majorBidi" w:cstheme="majorBidi"/>
          <w:color w:val="000000"/>
          <w:sz w:val="24"/>
          <w:szCs w:val="24"/>
          <w:lang w:val="en-US" w:eastAsia="fr-FR" w:bidi="he-IL"/>
        </w:rPr>
        <w:t xml:space="preserve"> </w:t>
      </w:r>
      <w:r w:rsidR="00151723">
        <w:rPr>
          <w:rFonts w:asciiTheme="majorBidi" w:eastAsia="Times New Roman" w:hAnsiTheme="majorBidi" w:cstheme="majorBidi"/>
          <w:color w:val="000000"/>
          <w:sz w:val="24"/>
          <w:szCs w:val="24"/>
          <w:lang w:val="en-US" w:eastAsia="fr-FR" w:bidi="he-IL"/>
        </w:rPr>
        <w:t>that</w:t>
      </w:r>
      <w:r w:rsidR="00270969" w:rsidRPr="00D806D9">
        <w:rPr>
          <w:rFonts w:asciiTheme="majorBidi" w:eastAsia="Times New Roman" w:hAnsiTheme="majorBidi" w:cstheme="majorBidi"/>
          <w:color w:val="000000"/>
          <w:sz w:val="24"/>
          <w:szCs w:val="24"/>
          <w:lang w:val="en-US" w:eastAsia="fr-FR" w:bidi="he-IL"/>
        </w:rPr>
        <w:t xml:space="preserve"> will eventually turn into </w:t>
      </w:r>
      <w:r w:rsidRPr="00D806D9">
        <w:rPr>
          <w:rFonts w:asciiTheme="majorBidi" w:eastAsia="Times New Roman" w:hAnsiTheme="majorBidi" w:cstheme="majorBidi"/>
          <w:color w:val="000000"/>
          <w:sz w:val="24"/>
          <w:szCs w:val="24"/>
          <w:lang w:val="en-US" w:eastAsia="fr-FR" w:bidi="he-IL"/>
        </w:rPr>
        <w:t xml:space="preserve">dangers. The vision of “unlimited” </w:t>
      </w:r>
      <w:r w:rsidR="00EF139A" w:rsidRPr="00D806D9">
        <w:rPr>
          <w:rFonts w:asciiTheme="majorBidi" w:eastAsia="Times New Roman" w:hAnsiTheme="majorBidi" w:cstheme="majorBidi"/>
          <w:color w:val="000000"/>
          <w:sz w:val="24"/>
          <w:szCs w:val="24"/>
          <w:lang w:val="en-US" w:eastAsia="fr-FR" w:bidi="he-IL"/>
        </w:rPr>
        <w:t xml:space="preserve">natural </w:t>
      </w:r>
      <w:r w:rsidRPr="00D806D9">
        <w:rPr>
          <w:rFonts w:asciiTheme="majorBidi" w:eastAsia="Times New Roman" w:hAnsiTheme="majorBidi" w:cstheme="majorBidi"/>
          <w:color w:val="000000"/>
          <w:sz w:val="24"/>
          <w:szCs w:val="24"/>
          <w:lang w:val="en-US" w:eastAsia="fr-FR" w:bidi="he-IL"/>
        </w:rPr>
        <w:t xml:space="preserve">capacities </w:t>
      </w:r>
      <w:r w:rsidRPr="00D806D9">
        <w:rPr>
          <w:rFonts w:asciiTheme="majorBidi" w:hAnsiTheme="majorBidi" w:cstheme="majorBidi"/>
          <w:sz w:val="24"/>
          <w:szCs w:val="24"/>
          <w:lang w:val="en-US"/>
        </w:rPr>
        <w:t>(</w:t>
      </w:r>
      <w:r w:rsidR="00EF139A" w:rsidRPr="00D806D9">
        <w:rPr>
          <w:rFonts w:asciiTheme="majorBidi" w:hAnsiTheme="majorBidi" w:cstheme="majorBidi"/>
          <w:sz w:val="24"/>
          <w:szCs w:val="24"/>
          <w:lang w:val="en-US"/>
        </w:rPr>
        <w:t xml:space="preserve">as for CCS: </w:t>
      </w:r>
      <w:r w:rsidRPr="00D806D9">
        <w:rPr>
          <w:rFonts w:asciiTheme="majorBidi" w:hAnsiTheme="majorBidi" w:cstheme="majorBidi"/>
          <w:sz w:val="24"/>
          <w:szCs w:val="24"/>
          <w:lang w:val="en-US"/>
        </w:rPr>
        <w:t xml:space="preserve">UNECE, 2021, p.6) </w:t>
      </w:r>
      <w:r w:rsidRPr="00D806D9">
        <w:rPr>
          <w:rFonts w:asciiTheme="majorBidi" w:eastAsia="Times New Roman" w:hAnsiTheme="majorBidi" w:cstheme="majorBidi"/>
          <w:color w:val="000000"/>
          <w:sz w:val="24"/>
          <w:szCs w:val="24"/>
          <w:lang w:val="en-US" w:eastAsia="fr-FR" w:bidi="he-IL"/>
        </w:rPr>
        <w:t xml:space="preserve">allowing </w:t>
      </w:r>
      <w:r w:rsidRPr="00D806D9">
        <w:rPr>
          <w:rFonts w:asciiTheme="majorBidi" w:eastAsia="Times New Roman" w:hAnsiTheme="majorBidi" w:cstheme="majorBidi"/>
          <w:sz w:val="24"/>
          <w:szCs w:val="24"/>
          <w:lang w:val="en-US" w:eastAsia="fr-FR" w:bidi="he-IL"/>
        </w:rPr>
        <w:t xml:space="preserve">unlimited productive growth, needs to be revised so that we pass from a GND-centric to a carbon-centric policy paradigm. </w:t>
      </w:r>
    </w:p>
    <w:p w14:paraId="29EFB765" w14:textId="65F6DA04" w:rsidR="00C81E60" w:rsidRPr="00D806D9" w:rsidRDefault="00EF139A" w:rsidP="00D806D9">
      <w:pPr>
        <w:spacing w:after="0" w:line="480" w:lineRule="auto"/>
        <w:ind w:firstLine="708"/>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Further</w:t>
      </w:r>
      <w:r w:rsidR="00F36C72">
        <w:rPr>
          <w:rFonts w:asciiTheme="majorBidi" w:eastAsia="Times New Roman" w:hAnsiTheme="majorBidi" w:cstheme="majorBidi"/>
          <w:sz w:val="24"/>
          <w:szCs w:val="24"/>
          <w:lang w:val="en-US" w:eastAsia="fr-FR" w:bidi="he-IL"/>
        </w:rPr>
        <w:t>more</w:t>
      </w:r>
      <w:r w:rsidRPr="00D806D9">
        <w:rPr>
          <w:rFonts w:asciiTheme="majorBidi" w:eastAsia="Times New Roman" w:hAnsiTheme="majorBidi" w:cstheme="majorBidi"/>
          <w:sz w:val="24"/>
          <w:szCs w:val="24"/>
          <w:lang w:val="en-US" w:eastAsia="fr-FR" w:bidi="he-IL"/>
        </w:rPr>
        <w:t xml:space="preserve">, </w:t>
      </w:r>
      <w:r w:rsidR="00F36C72">
        <w:rPr>
          <w:rFonts w:asciiTheme="majorBidi" w:eastAsia="Times New Roman" w:hAnsiTheme="majorBidi" w:cstheme="majorBidi"/>
          <w:sz w:val="24"/>
          <w:szCs w:val="24"/>
          <w:lang w:val="en-US" w:eastAsia="fr-FR" w:bidi="he-IL"/>
        </w:rPr>
        <w:t xml:space="preserve">the </w:t>
      </w:r>
      <w:r w:rsidR="00ED10F3" w:rsidRPr="00D806D9">
        <w:rPr>
          <w:rFonts w:asciiTheme="majorBidi" w:eastAsia="Times New Roman" w:hAnsiTheme="majorBidi" w:cstheme="majorBidi"/>
          <w:sz w:val="24"/>
          <w:szCs w:val="24"/>
          <w:lang w:val="en-US" w:eastAsia="fr-FR" w:bidi="he-IL"/>
        </w:rPr>
        <w:t>distributional effects are not neutral. U</w:t>
      </w:r>
      <w:r w:rsidR="00B20DBD" w:rsidRPr="00D806D9">
        <w:rPr>
          <w:rFonts w:asciiTheme="majorBidi" w:eastAsia="Times New Roman" w:hAnsiTheme="majorBidi" w:cstheme="majorBidi"/>
          <w:sz w:val="24"/>
          <w:szCs w:val="24"/>
          <w:lang w:val="en-US" w:eastAsia="fr-FR" w:bidi="he-IL"/>
        </w:rPr>
        <w:t>nderstanding that “the economic inequality associated with historical disparities in energy consumption” (</w:t>
      </w:r>
      <w:bookmarkStart w:id="21" w:name="_Hlk108434723"/>
      <w:proofErr w:type="spellStart"/>
      <w:r w:rsidR="00B20DBD" w:rsidRPr="00D806D9">
        <w:rPr>
          <w:rFonts w:asciiTheme="majorBidi" w:eastAsia="Times New Roman" w:hAnsiTheme="majorBidi" w:cstheme="majorBidi"/>
          <w:sz w:val="24"/>
          <w:szCs w:val="24"/>
          <w:lang w:val="en-US" w:eastAsia="fr-FR" w:bidi="he-IL"/>
        </w:rPr>
        <w:t>Diffenbaugh</w:t>
      </w:r>
      <w:proofErr w:type="spellEnd"/>
      <w:r w:rsidR="00B20DBD" w:rsidRPr="00D806D9">
        <w:rPr>
          <w:rFonts w:asciiTheme="majorBidi" w:eastAsia="Times New Roman" w:hAnsiTheme="majorBidi" w:cstheme="majorBidi"/>
          <w:sz w:val="24"/>
          <w:szCs w:val="24"/>
          <w:lang w:val="en-US" w:eastAsia="fr-FR" w:bidi="he-IL"/>
        </w:rPr>
        <w:t xml:space="preserve"> </w:t>
      </w:r>
      <w:bookmarkEnd w:id="21"/>
      <w:r w:rsidR="00B20DBD" w:rsidRPr="00D806D9">
        <w:rPr>
          <w:rFonts w:asciiTheme="majorBidi" w:eastAsia="Times New Roman" w:hAnsiTheme="majorBidi" w:cstheme="majorBidi"/>
          <w:sz w:val="24"/>
          <w:szCs w:val="24"/>
          <w:lang w:val="en-US" w:eastAsia="fr-FR" w:bidi="he-IL"/>
        </w:rPr>
        <w:t xml:space="preserve">et al., 2019) will further </w:t>
      </w:r>
      <w:r w:rsidR="00151723">
        <w:rPr>
          <w:rFonts w:asciiTheme="majorBidi" w:eastAsia="Times New Roman" w:hAnsiTheme="majorBidi" w:cstheme="majorBidi"/>
          <w:sz w:val="24"/>
          <w:szCs w:val="24"/>
          <w:lang w:val="en-US" w:eastAsia="fr-FR" w:bidi="he-IL"/>
        </w:rPr>
        <w:t>deepen</w:t>
      </w:r>
      <w:r w:rsidR="00B20DBD" w:rsidRPr="00D806D9">
        <w:rPr>
          <w:rFonts w:asciiTheme="majorBidi" w:eastAsia="Times New Roman" w:hAnsiTheme="majorBidi" w:cstheme="majorBidi"/>
          <w:sz w:val="24"/>
          <w:szCs w:val="24"/>
          <w:lang w:val="en-US" w:eastAsia="fr-FR" w:bidi="he-IL"/>
        </w:rPr>
        <w:t xml:space="preserve"> since “the intersection of inequality and poverty presents significant adaptation limits, resulting in residual impacts for vulnerable groups” (IPCC, 2022</w:t>
      </w:r>
      <w:r w:rsidR="0003342C" w:rsidRPr="00D806D9">
        <w:rPr>
          <w:rFonts w:asciiTheme="majorBidi" w:eastAsia="Times New Roman" w:hAnsiTheme="majorBidi" w:cstheme="majorBidi"/>
          <w:sz w:val="24"/>
          <w:szCs w:val="24"/>
          <w:lang w:val="en-US" w:eastAsia="fr-FR" w:bidi="he-IL"/>
        </w:rPr>
        <w:t>a</w:t>
      </w:r>
      <w:r w:rsidR="00B20DBD" w:rsidRPr="00D806D9">
        <w:rPr>
          <w:rFonts w:asciiTheme="majorBidi" w:eastAsia="Times New Roman" w:hAnsiTheme="majorBidi" w:cstheme="majorBidi"/>
          <w:sz w:val="24"/>
          <w:szCs w:val="24"/>
          <w:lang w:val="en-US" w:eastAsia="fr-FR" w:bidi="he-IL"/>
        </w:rPr>
        <w:t>, Chapter 1, p.63) and that “inequality fuels climate change” (Green &amp; Healy, 2022) is in that sense key.</w:t>
      </w:r>
      <w:r w:rsidR="00C81E60" w:rsidRPr="00D806D9">
        <w:rPr>
          <w:rFonts w:asciiTheme="majorBidi" w:eastAsia="Times New Roman" w:hAnsiTheme="majorBidi" w:cstheme="majorBidi"/>
          <w:sz w:val="24"/>
          <w:szCs w:val="24"/>
          <w:lang w:val="en-US" w:eastAsia="fr-FR" w:bidi="he-IL"/>
        </w:rPr>
        <w:t xml:space="preserve"> </w:t>
      </w:r>
      <w:r w:rsidR="00B20DBD" w:rsidRPr="00D806D9">
        <w:rPr>
          <w:rFonts w:asciiTheme="majorBidi" w:eastAsia="Times New Roman" w:hAnsiTheme="majorBidi" w:cstheme="majorBidi"/>
          <w:sz w:val="24"/>
          <w:szCs w:val="24"/>
          <w:lang w:val="en-US" w:eastAsia="fr-FR" w:bidi="he-IL"/>
        </w:rPr>
        <w:t>“</w:t>
      </w:r>
      <w:r w:rsidR="00C81E60" w:rsidRPr="00D806D9">
        <w:rPr>
          <w:rFonts w:asciiTheme="majorBidi" w:eastAsia="Times New Roman" w:hAnsiTheme="majorBidi" w:cstheme="majorBidi"/>
          <w:sz w:val="24"/>
          <w:szCs w:val="24"/>
          <w:lang w:val="en-US" w:eastAsia="fr-FR" w:bidi="he-IL"/>
        </w:rPr>
        <w:t>W</w:t>
      </w:r>
      <w:r w:rsidR="00B20DBD" w:rsidRPr="00D806D9">
        <w:rPr>
          <w:rFonts w:asciiTheme="majorBidi" w:eastAsia="Times New Roman" w:hAnsiTheme="majorBidi" w:cstheme="majorBidi"/>
          <w:sz w:val="24"/>
          <w:szCs w:val="24"/>
          <w:lang w:val="en-US" w:eastAsia="fr-FR" w:bidi="he-IL"/>
        </w:rPr>
        <w:t>e must move away from a focus on economic efficiency toward a focus on the distribution of political power” (</w:t>
      </w:r>
      <w:proofErr w:type="spellStart"/>
      <w:r w:rsidR="00D806D9" w:rsidRPr="00D806D9">
        <w:rPr>
          <w:rFonts w:asciiTheme="majorBidi" w:hAnsiTheme="majorBidi" w:cstheme="majorBidi"/>
          <w:sz w:val="24"/>
          <w:szCs w:val="24"/>
          <w:lang w:val="en-US"/>
        </w:rPr>
        <w:t>Mildenberger</w:t>
      </w:r>
      <w:proofErr w:type="spellEnd"/>
      <w:r w:rsidR="00B20DBD" w:rsidRPr="00D806D9">
        <w:rPr>
          <w:rFonts w:asciiTheme="majorBidi" w:eastAsia="Times New Roman" w:hAnsiTheme="majorBidi" w:cstheme="majorBidi"/>
          <w:sz w:val="24"/>
          <w:szCs w:val="24"/>
          <w:lang w:val="en-US" w:eastAsia="fr-FR" w:bidi="he-IL"/>
        </w:rPr>
        <w:t>, 2020, p.236)</w:t>
      </w:r>
      <w:r w:rsidR="00C81E60" w:rsidRPr="00D806D9">
        <w:rPr>
          <w:rFonts w:asciiTheme="majorBidi" w:eastAsia="Times New Roman" w:hAnsiTheme="majorBidi" w:cstheme="majorBidi"/>
          <w:sz w:val="24"/>
          <w:szCs w:val="24"/>
          <w:lang w:val="en-US" w:eastAsia="fr-FR" w:bidi="he-IL"/>
        </w:rPr>
        <w:t xml:space="preserve">. </w:t>
      </w:r>
    </w:p>
    <w:p w14:paraId="13B2667F" w14:textId="3472C56A" w:rsidR="00B20DBD" w:rsidRPr="00D806D9" w:rsidRDefault="00C81E60" w:rsidP="00D806D9">
      <w:pPr>
        <w:spacing w:after="0" w:line="480" w:lineRule="auto"/>
        <w:ind w:firstLine="708"/>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In this way, t</w:t>
      </w:r>
      <w:r w:rsidR="00B20DBD" w:rsidRPr="00D806D9">
        <w:rPr>
          <w:rFonts w:asciiTheme="majorBidi" w:eastAsia="Times New Roman" w:hAnsiTheme="majorBidi" w:cstheme="majorBidi"/>
          <w:color w:val="000000"/>
          <w:sz w:val="24"/>
          <w:szCs w:val="24"/>
          <w:lang w:val="en-US" w:eastAsia="fr-FR" w:bidi="he-IL"/>
        </w:rPr>
        <w:t xml:space="preserve">he RepowerEU </w:t>
      </w:r>
      <w:r w:rsidRPr="00D806D9">
        <w:rPr>
          <w:rFonts w:asciiTheme="majorBidi" w:eastAsia="Times New Roman" w:hAnsiTheme="majorBidi" w:cstheme="majorBidi"/>
          <w:color w:val="000000"/>
          <w:sz w:val="24"/>
          <w:szCs w:val="24"/>
          <w:lang w:val="en-US" w:eastAsia="fr-FR" w:bidi="he-IL"/>
        </w:rPr>
        <w:t xml:space="preserve">(EC, 2022b) </w:t>
      </w:r>
      <w:r w:rsidR="00B20DBD" w:rsidRPr="00D806D9">
        <w:rPr>
          <w:rFonts w:asciiTheme="majorBidi" w:eastAsia="Times New Roman" w:hAnsiTheme="majorBidi" w:cstheme="majorBidi"/>
          <w:color w:val="000000"/>
          <w:sz w:val="24"/>
          <w:szCs w:val="24"/>
          <w:lang w:val="en-US" w:eastAsia="fr-FR" w:bidi="he-IL"/>
        </w:rPr>
        <w:t>plan includes an “energy savings” part</w:t>
      </w:r>
      <w:r w:rsidR="00645DD8">
        <w:rPr>
          <w:rFonts w:asciiTheme="majorBidi" w:eastAsia="Times New Roman" w:hAnsiTheme="majorBidi" w:cstheme="majorBidi"/>
          <w:color w:val="000000"/>
          <w:sz w:val="24"/>
          <w:szCs w:val="24"/>
          <w:lang w:val="en-US" w:eastAsia="fr-FR" w:bidi="he-IL"/>
        </w:rPr>
        <w:t>,</w:t>
      </w:r>
      <w:r w:rsidR="00B20DBD" w:rsidRPr="00D806D9">
        <w:rPr>
          <w:rFonts w:asciiTheme="majorBidi" w:eastAsia="Times New Roman" w:hAnsiTheme="majorBidi" w:cstheme="majorBidi"/>
          <w:color w:val="000000"/>
          <w:sz w:val="24"/>
          <w:szCs w:val="24"/>
          <w:lang w:val="en-US" w:eastAsia="fr-FR" w:bidi="he-IL"/>
        </w:rPr>
        <w:t xml:space="preserve"> which the EC qualifies as “vital” to </w:t>
      </w:r>
      <w:r w:rsidR="00151723">
        <w:rPr>
          <w:rFonts w:asciiTheme="majorBidi" w:eastAsia="Times New Roman" w:hAnsiTheme="majorBidi" w:cstheme="majorBidi"/>
          <w:color w:val="000000"/>
          <w:sz w:val="24"/>
          <w:szCs w:val="24"/>
          <w:lang w:val="en-US" w:eastAsia="fr-FR" w:bidi="he-IL"/>
        </w:rPr>
        <w:t>reducing</w:t>
      </w:r>
      <w:r w:rsidR="00B20DBD" w:rsidRPr="00D806D9">
        <w:rPr>
          <w:rFonts w:asciiTheme="majorBidi" w:eastAsia="Times New Roman" w:hAnsiTheme="majorBidi" w:cstheme="majorBidi"/>
          <w:color w:val="000000"/>
          <w:sz w:val="24"/>
          <w:szCs w:val="24"/>
          <w:lang w:val="en-US" w:eastAsia="fr-FR" w:bidi="he-IL"/>
        </w:rPr>
        <w:t xml:space="preserve"> </w:t>
      </w:r>
      <w:r w:rsidR="00F36C72">
        <w:rPr>
          <w:rFonts w:asciiTheme="majorBidi" w:eastAsia="Times New Roman" w:hAnsiTheme="majorBidi" w:cstheme="majorBidi"/>
          <w:color w:val="000000"/>
          <w:sz w:val="24"/>
          <w:szCs w:val="24"/>
          <w:lang w:val="en-US" w:eastAsia="fr-FR" w:bidi="he-IL"/>
        </w:rPr>
        <w:t xml:space="preserve">the </w:t>
      </w:r>
      <w:r w:rsidR="00B20DBD" w:rsidRPr="00D806D9">
        <w:rPr>
          <w:rFonts w:asciiTheme="majorBidi" w:eastAsia="Times New Roman" w:hAnsiTheme="majorBidi" w:cstheme="majorBidi"/>
          <w:color w:val="000000"/>
          <w:sz w:val="24"/>
          <w:szCs w:val="24"/>
          <w:lang w:val="en-US" w:eastAsia="fr-FR" w:bidi="he-IL"/>
        </w:rPr>
        <w:t xml:space="preserve">EU’s energy </w:t>
      </w:r>
      <w:r w:rsidR="00240B4D" w:rsidRPr="00D806D9">
        <w:rPr>
          <w:rFonts w:asciiTheme="majorBidi" w:eastAsia="Times New Roman" w:hAnsiTheme="majorBidi" w:cstheme="majorBidi"/>
          <w:color w:val="000000"/>
          <w:sz w:val="24"/>
          <w:szCs w:val="24"/>
          <w:lang w:val="en-US" w:eastAsia="fr-FR" w:bidi="he-IL"/>
        </w:rPr>
        <w:t>dependency</w:t>
      </w:r>
      <w:r w:rsidR="00B20DBD" w:rsidRPr="00D806D9">
        <w:rPr>
          <w:rFonts w:asciiTheme="majorBidi" w:eastAsia="Times New Roman" w:hAnsiTheme="majorBidi" w:cstheme="majorBidi"/>
          <w:color w:val="000000"/>
          <w:sz w:val="24"/>
          <w:szCs w:val="24"/>
          <w:lang w:val="en-US" w:eastAsia="fr-FR" w:bidi="he-IL"/>
        </w:rPr>
        <w:t xml:space="preserve">. If this seems </w:t>
      </w:r>
      <w:r w:rsidR="00F36C72">
        <w:rPr>
          <w:rFonts w:asciiTheme="majorBidi" w:eastAsia="Times New Roman" w:hAnsiTheme="majorBidi" w:cstheme="majorBidi"/>
          <w:color w:val="000000"/>
          <w:sz w:val="24"/>
          <w:szCs w:val="24"/>
          <w:lang w:val="en-US" w:eastAsia="fr-FR" w:bidi="he-IL"/>
        </w:rPr>
        <w:t>to go</w:t>
      </w:r>
      <w:r w:rsidR="00B20DBD" w:rsidRPr="00D806D9">
        <w:rPr>
          <w:rFonts w:asciiTheme="majorBidi" w:eastAsia="Times New Roman" w:hAnsiTheme="majorBidi" w:cstheme="majorBidi"/>
          <w:color w:val="000000"/>
          <w:sz w:val="24"/>
          <w:szCs w:val="24"/>
          <w:lang w:val="en-US" w:eastAsia="fr-FR" w:bidi="he-IL"/>
        </w:rPr>
        <w:t xml:space="preserve"> in the right direction, it is nevertheless based on “energy efficiency policies” and </w:t>
      </w:r>
      <w:r w:rsidR="00B20DBD" w:rsidRPr="00D806D9">
        <w:rPr>
          <w:rFonts w:asciiTheme="majorBidi" w:eastAsia="Times New Roman" w:hAnsiTheme="majorBidi" w:cstheme="majorBidi"/>
          <w:color w:val="000000"/>
          <w:sz w:val="24"/>
          <w:szCs w:val="24"/>
          <w:lang w:val="en-US" w:eastAsia="fr-FR" w:bidi="he-IL"/>
        </w:rPr>
        <w:lastRenderedPageBreak/>
        <w:t>“voluntary choices</w:t>
      </w:r>
      <w:r w:rsidR="00D806D9" w:rsidRPr="00D806D9">
        <w:rPr>
          <w:rFonts w:asciiTheme="majorBidi" w:eastAsia="Times New Roman" w:hAnsiTheme="majorBidi" w:cstheme="majorBidi"/>
          <w:color w:val="000000"/>
          <w:sz w:val="24"/>
          <w:szCs w:val="24"/>
          <w:lang w:val="en-US" w:eastAsia="fr-FR" w:bidi="he-IL"/>
        </w:rPr>
        <w:t>,”</w:t>
      </w:r>
      <w:r w:rsidR="00ED10F3" w:rsidRPr="00D806D9">
        <w:rPr>
          <w:rFonts w:asciiTheme="majorBidi" w:eastAsia="Times New Roman" w:hAnsiTheme="majorBidi" w:cstheme="majorBidi"/>
          <w:color w:val="000000"/>
          <w:sz w:val="24"/>
          <w:szCs w:val="24"/>
          <w:lang w:val="en-US" w:eastAsia="fr-FR" w:bidi="he-IL"/>
        </w:rPr>
        <w:t xml:space="preserve"> policy itself based on strong geopolitical constrain</w:t>
      </w:r>
      <w:r w:rsidR="00B20DBD" w:rsidRPr="00D806D9">
        <w:rPr>
          <w:rFonts w:asciiTheme="majorBidi" w:eastAsia="Times New Roman" w:hAnsiTheme="majorBidi" w:cstheme="majorBidi"/>
          <w:color w:val="000000"/>
          <w:sz w:val="24"/>
          <w:szCs w:val="24"/>
          <w:lang w:val="en-US" w:eastAsia="fr-FR" w:bidi="he-IL"/>
        </w:rPr>
        <w:t>. If “savings are the quickest and cheapest way to address the current energy crisis” (</w:t>
      </w:r>
      <w:r w:rsidRPr="00D806D9">
        <w:rPr>
          <w:rFonts w:asciiTheme="majorBidi" w:eastAsia="Times New Roman" w:hAnsiTheme="majorBidi" w:cstheme="majorBidi"/>
          <w:color w:val="000000"/>
          <w:sz w:val="24"/>
          <w:szCs w:val="24"/>
          <w:lang w:val="en-US" w:eastAsia="fr-FR" w:bidi="he-IL"/>
        </w:rPr>
        <w:t>Ibid., p.3)</w:t>
      </w:r>
      <w:r w:rsidR="00B20DBD" w:rsidRPr="00D806D9">
        <w:rPr>
          <w:rFonts w:asciiTheme="majorBidi" w:eastAsia="Times New Roman" w:hAnsiTheme="majorBidi" w:cstheme="majorBidi"/>
          <w:color w:val="000000"/>
          <w:sz w:val="24"/>
          <w:szCs w:val="24"/>
          <w:lang w:val="en-US" w:eastAsia="fr-FR" w:bidi="he-IL"/>
        </w:rPr>
        <w:t>, an energy</w:t>
      </w:r>
      <w:r w:rsidR="00A768C7">
        <w:rPr>
          <w:rFonts w:asciiTheme="majorBidi" w:eastAsia="Times New Roman" w:hAnsiTheme="majorBidi" w:cstheme="majorBidi"/>
          <w:color w:val="000000"/>
          <w:sz w:val="24"/>
          <w:szCs w:val="24"/>
          <w:lang w:val="en-US" w:eastAsia="fr-FR" w:bidi="he-IL"/>
        </w:rPr>
        <w:t>-</w:t>
      </w:r>
      <w:r w:rsidR="00B20DBD" w:rsidRPr="00D806D9">
        <w:rPr>
          <w:rFonts w:asciiTheme="majorBidi" w:eastAsia="Times New Roman" w:hAnsiTheme="majorBidi" w:cstheme="majorBidi"/>
          <w:color w:val="000000"/>
          <w:sz w:val="24"/>
          <w:szCs w:val="24"/>
          <w:lang w:val="en-US" w:eastAsia="fr-FR" w:bidi="he-IL"/>
        </w:rPr>
        <w:t xml:space="preserve">sufficiency </w:t>
      </w:r>
      <w:r w:rsidR="00826249" w:rsidRPr="00D806D9">
        <w:rPr>
          <w:rFonts w:asciiTheme="majorBidi" w:eastAsia="Times New Roman" w:hAnsiTheme="majorBidi" w:cstheme="majorBidi"/>
          <w:color w:val="000000"/>
          <w:sz w:val="24"/>
          <w:szCs w:val="24"/>
          <w:lang w:val="en-US" w:eastAsia="fr-FR" w:bidi="he-IL"/>
        </w:rPr>
        <w:t>planification</w:t>
      </w:r>
      <w:r w:rsidR="00B20DBD" w:rsidRPr="00D806D9">
        <w:rPr>
          <w:rFonts w:asciiTheme="majorBidi" w:eastAsia="Times New Roman" w:hAnsiTheme="majorBidi" w:cstheme="majorBidi"/>
          <w:color w:val="000000"/>
          <w:sz w:val="24"/>
          <w:szCs w:val="24"/>
          <w:lang w:val="en-US" w:eastAsia="fr-FR" w:bidi="he-IL"/>
        </w:rPr>
        <w:t xml:space="preserve">, as recommended </w:t>
      </w:r>
      <w:r w:rsidR="00826249" w:rsidRPr="00D806D9">
        <w:rPr>
          <w:rFonts w:asciiTheme="majorBidi" w:eastAsia="Times New Roman" w:hAnsiTheme="majorBidi" w:cstheme="majorBidi"/>
          <w:color w:val="000000"/>
          <w:sz w:val="24"/>
          <w:szCs w:val="24"/>
          <w:lang w:val="en-US" w:eastAsia="fr-FR" w:bidi="he-IL"/>
        </w:rPr>
        <w:t>by the</w:t>
      </w:r>
      <w:r w:rsidR="00B20DBD" w:rsidRPr="00D806D9">
        <w:rPr>
          <w:rFonts w:asciiTheme="majorBidi" w:eastAsia="Times New Roman" w:hAnsiTheme="majorBidi" w:cstheme="majorBidi"/>
          <w:color w:val="000000"/>
          <w:sz w:val="24"/>
          <w:szCs w:val="24"/>
          <w:lang w:val="en-US" w:eastAsia="fr-FR" w:bidi="he-IL"/>
        </w:rPr>
        <w:t xml:space="preserve"> IPCC</w:t>
      </w:r>
      <w:r w:rsidR="00ED10F3" w:rsidRPr="00D806D9">
        <w:rPr>
          <w:rFonts w:asciiTheme="majorBidi" w:eastAsia="Times New Roman" w:hAnsiTheme="majorBidi" w:cstheme="majorBidi"/>
          <w:color w:val="000000"/>
          <w:sz w:val="24"/>
          <w:szCs w:val="24"/>
          <w:lang w:val="en-US" w:eastAsia="fr-FR" w:bidi="he-IL"/>
        </w:rPr>
        <w:t xml:space="preserve">, could be the most </w:t>
      </w:r>
      <w:r w:rsidR="008E4B52" w:rsidRPr="00D806D9">
        <w:rPr>
          <w:rFonts w:asciiTheme="majorBidi" w:eastAsia="Times New Roman" w:hAnsiTheme="majorBidi" w:cstheme="majorBidi"/>
          <w:color w:val="000000"/>
          <w:sz w:val="24"/>
          <w:szCs w:val="24"/>
          <w:lang w:val="en-US" w:eastAsia="fr-FR" w:bidi="he-IL"/>
        </w:rPr>
        <w:t>efficient</w:t>
      </w:r>
      <w:r w:rsidR="00ED10F3" w:rsidRPr="00D806D9">
        <w:rPr>
          <w:rFonts w:asciiTheme="majorBidi" w:eastAsia="Times New Roman" w:hAnsiTheme="majorBidi" w:cstheme="majorBidi"/>
          <w:color w:val="000000"/>
          <w:sz w:val="24"/>
          <w:szCs w:val="24"/>
          <w:lang w:val="en-US" w:eastAsia="fr-FR" w:bidi="he-IL"/>
        </w:rPr>
        <w:t xml:space="preserve"> one </w:t>
      </w:r>
      <w:r w:rsidR="00151723">
        <w:rPr>
          <w:rFonts w:asciiTheme="majorBidi" w:eastAsia="Times New Roman" w:hAnsiTheme="majorBidi" w:cstheme="majorBidi"/>
          <w:color w:val="000000"/>
          <w:sz w:val="24"/>
          <w:szCs w:val="24"/>
          <w:lang w:val="en-US" w:eastAsia="fr-FR" w:bidi="he-IL"/>
        </w:rPr>
        <w:t>in</w:t>
      </w:r>
      <w:r w:rsidR="00ED10F3" w:rsidRPr="00D806D9">
        <w:rPr>
          <w:rFonts w:asciiTheme="majorBidi" w:eastAsia="Times New Roman" w:hAnsiTheme="majorBidi" w:cstheme="majorBidi"/>
          <w:color w:val="000000"/>
          <w:sz w:val="24"/>
          <w:szCs w:val="24"/>
          <w:lang w:val="en-US" w:eastAsia="fr-FR" w:bidi="he-IL"/>
        </w:rPr>
        <w:t xml:space="preserve"> the long run.</w:t>
      </w:r>
    </w:p>
    <w:p w14:paraId="6745BDCD" w14:textId="798F3DC8" w:rsidR="009054F1" w:rsidRPr="00D806D9" w:rsidRDefault="009054F1" w:rsidP="00D806D9">
      <w:pPr>
        <w:spacing w:after="0" w:line="480" w:lineRule="auto"/>
        <w:jc w:val="both"/>
        <w:rPr>
          <w:rFonts w:asciiTheme="majorBidi" w:eastAsia="Times New Roman" w:hAnsiTheme="majorBidi" w:cstheme="majorBidi"/>
          <w:color w:val="000000"/>
          <w:sz w:val="24"/>
          <w:szCs w:val="24"/>
          <w:lang w:val="en-US" w:eastAsia="fr-FR" w:bidi="he-IL"/>
        </w:rPr>
      </w:pPr>
    </w:p>
    <w:p w14:paraId="07421978" w14:textId="0DD7D528" w:rsidR="009054F1" w:rsidRPr="00D806D9" w:rsidRDefault="009054F1" w:rsidP="00D806D9">
      <w:pPr>
        <w:spacing w:after="0" w:line="480" w:lineRule="auto"/>
        <w:jc w:val="both"/>
        <w:rPr>
          <w:rFonts w:asciiTheme="majorBidi" w:eastAsia="Times New Roman" w:hAnsiTheme="majorBidi" w:cstheme="majorBidi"/>
          <w:color w:val="000000"/>
          <w:sz w:val="24"/>
          <w:szCs w:val="24"/>
          <w:lang w:val="en-US" w:eastAsia="fr-FR" w:bidi="he-IL"/>
        </w:rPr>
      </w:pPr>
    </w:p>
    <w:p w14:paraId="2C191ABA" w14:textId="5A231814" w:rsidR="009054F1" w:rsidRPr="00D806D9" w:rsidRDefault="009054F1" w:rsidP="00D806D9">
      <w:pPr>
        <w:spacing w:after="0" w:line="480" w:lineRule="auto"/>
        <w:rPr>
          <w:rFonts w:asciiTheme="majorBidi" w:hAnsiTheme="majorBidi" w:cstheme="majorBidi"/>
          <w:color w:val="FF0000"/>
          <w:sz w:val="24"/>
          <w:szCs w:val="24"/>
          <w:lang w:val="en-US"/>
        </w:rPr>
      </w:pPr>
    </w:p>
    <w:p w14:paraId="0F5F8E30" w14:textId="5FDE6F86" w:rsidR="009054F1" w:rsidRPr="00D806D9" w:rsidRDefault="009054F1" w:rsidP="00D806D9">
      <w:pPr>
        <w:spacing w:after="0" w:line="480" w:lineRule="auto"/>
        <w:rPr>
          <w:rFonts w:asciiTheme="majorBidi" w:hAnsiTheme="majorBidi" w:cstheme="majorBidi"/>
          <w:color w:val="FF0000"/>
          <w:sz w:val="24"/>
          <w:szCs w:val="24"/>
          <w:lang w:val="en-US"/>
        </w:rPr>
      </w:pPr>
    </w:p>
    <w:p w14:paraId="73694856" w14:textId="77777777" w:rsidR="009054F1" w:rsidRPr="00D806D9" w:rsidRDefault="009054F1" w:rsidP="00D806D9">
      <w:pPr>
        <w:spacing w:after="0" w:line="480" w:lineRule="auto"/>
        <w:rPr>
          <w:rFonts w:asciiTheme="majorBidi" w:hAnsiTheme="majorBidi" w:cstheme="majorBidi"/>
          <w:color w:val="FF0000"/>
          <w:sz w:val="24"/>
          <w:szCs w:val="24"/>
          <w:lang w:val="en-US"/>
        </w:rPr>
      </w:pPr>
    </w:p>
    <w:p w14:paraId="13B5B99D" w14:textId="3D9E67B8" w:rsidR="00033CF9" w:rsidRPr="00D806D9" w:rsidRDefault="00033CF9" w:rsidP="00D806D9">
      <w:pPr>
        <w:spacing w:after="0" w:line="480" w:lineRule="auto"/>
        <w:rPr>
          <w:rFonts w:asciiTheme="majorBidi" w:hAnsiTheme="majorBidi" w:cstheme="majorBidi"/>
          <w:color w:val="FF0000"/>
          <w:sz w:val="24"/>
          <w:szCs w:val="24"/>
          <w:lang w:val="en-US"/>
        </w:rPr>
      </w:pPr>
    </w:p>
    <w:p w14:paraId="1B85FD1C" w14:textId="77777777" w:rsidR="009054F1" w:rsidRPr="00D806D9" w:rsidRDefault="009054F1" w:rsidP="00D806D9">
      <w:pPr>
        <w:spacing w:after="0" w:line="480" w:lineRule="auto"/>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br w:type="page"/>
      </w:r>
    </w:p>
    <w:p w14:paraId="47A35519" w14:textId="521D10CF" w:rsidR="00E45C3E" w:rsidRDefault="00E45C3E" w:rsidP="00D806D9">
      <w:pPr>
        <w:spacing w:after="0" w:line="480" w:lineRule="auto"/>
        <w:jc w:val="both"/>
        <w:rPr>
          <w:rFonts w:asciiTheme="majorBidi" w:eastAsia="Times New Roman" w:hAnsiTheme="majorBidi" w:cstheme="majorBidi"/>
          <w:b/>
          <w:bCs/>
          <w:color w:val="000000"/>
          <w:sz w:val="24"/>
          <w:szCs w:val="24"/>
          <w:lang w:val="en-US" w:eastAsia="fr-FR" w:bidi="he-IL"/>
        </w:rPr>
      </w:pPr>
      <w:r w:rsidRPr="00D806D9">
        <w:rPr>
          <w:rFonts w:asciiTheme="majorBidi" w:eastAsia="Times New Roman" w:hAnsiTheme="majorBidi" w:cstheme="majorBidi"/>
          <w:b/>
          <w:bCs/>
          <w:color w:val="000000"/>
          <w:sz w:val="24"/>
          <w:szCs w:val="24"/>
          <w:lang w:val="en-US" w:eastAsia="fr-FR" w:bidi="he-IL"/>
        </w:rPr>
        <w:lastRenderedPageBreak/>
        <w:t>Conclusion</w:t>
      </w:r>
    </w:p>
    <w:p w14:paraId="401AC4D8" w14:textId="77777777" w:rsidR="00D806D9" w:rsidRPr="00D806D9" w:rsidRDefault="00D806D9" w:rsidP="00D806D9">
      <w:pPr>
        <w:spacing w:after="0" w:line="480" w:lineRule="auto"/>
        <w:jc w:val="both"/>
        <w:rPr>
          <w:rFonts w:asciiTheme="majorBidi" w:eastAsia="Times New Roman" w:hAnsiTheme="majorBidi" w:cstheme="majorBidi"/>
          <w:b/>
          <w:bCs/>
          <w:color w:val="000000"/>
          <w:sz w:val="24"/>
          <w:szCs w:val="24"/>
          <w:lang w:val="en-US" w:eastAsia="fr-FR" w:bidi="he-IL"/>
        </w:rPr>
      </w:pPr>
    </w:p>
    <w:p w14:paraId="1B5C8692" w14:textId="1A454DF1" w:rsidR="005F34D9" w:rsidRPr="00D806D9" w:rsidRDefault="00E45C3E" w:rsidP="00D806D9">
      <w:pPr>
        <w:spacing w:after="0" w:line="48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ab/>
      </w:r>
      <w:r w:rsidR="009C5792" w:rsidRPr="00D806D9">
        <w:rPr>
          <w:rFonts w:asciiTheme="majorBidi" w:hAnsiTheme="majorBidi" w:cstheme="majorBidi"/>
          <w:sz w:val="24"/>
          <w:szCs w:val="24"/>
          <w:lang w:val="en-US"/>
        </w:rPr>
        <w:t xml:space="preserve">LCH presents issues that </w:t>
      </w:r>
      <w:r w:rsidR="00E46532" w:rsidRPr="00D806D9">
        <w:rPr>
          <w:rFonts w:asciiTheme="majorBidi" w:hAnsiTheme="majorBidi" w:cstheme="majorBidi"/>
          <w:sz w:val="24"/>
          <w:szCs w:val="24"/>
          <w:lang w:val="en-US"/>
        </w:rPr>
        <w:t>could badly hamper its environmental efficiency</w:t>
      </w:r>
      <w:r w:rsidR="009C5792" w:rsidRPr="00D806D9">
        <w:rPr>
          <w:rFonts w:asciiTheme="majorBidi" w:hAnsiTheme="majorBidi" w:cstheme="majorBidi"/>
          <w:sz w:val="24"/>
          <w:szCs w:val="24"/>
          <w:lang w:val="en-US"/>
        </w:rPr>
        <w:t xml:space="preserve">. </w:t>
      </w:r>
      <w:r w:rsidR="00E46532" w:rsidRPr="00D806D9">
        <w:rPr>
          <w:rFonts w:asciiTheme="majorBidi" w:hAnsiTheme="majorBidi" w:cstheme="majorBidi"/>
          <w:sz w:val="24"/>
          <w:szCs w:val="24"/>
          <w:lang w:val="en-US"/>
        </w:rPr>
        <w:t>N</w:t>
      </w:r>
      <w:r w:rsidR="006E77A0" w:rsidRPr="00D806D9">
        <w:rPr>
          <w:rFonts w:asciiTheme="majorBidi" w:hAnsiTheme="majorBidi" w:cstheme="majorBidi"/>
          <w:sz w:val="24"/>
          <w:szCs w:val="24"/>
          <w:lang w:val="en-US"/>
        </w:rPr>
        <w:t xml:space="preserve">eglecting the technological neutrality principle, </w:t>
      </w:r>
      <w:r w:rsidR="009C5792" w:rsidRPr="00D806D9">
        <w:rPr>
          <w:rFonts w:asciiTheme="majorBidi" w:hAnsiTheme="majorBidi" w:cstheme="majorBidi"/>
          <w:sz w:val="24"/>
          <w:szCs w:val="24"/>
          <w:lang w:val="en-US"/>
        </w:rPr>
        <w:t xml:space="preserve">the EC is willing to implement </w:t>
      </w:r>
      <w:r w:rsidR="006E77A0" w:rsidRPr="00D806D9">
        <w:rPr>
          <w:rFonts w:asciiTheme="majorBidi" w:hAnsiTheme="majorBidi" w:cstheme="majorBidi"/>
          <w:sz w:val="24"/>
          <w:szCs w:val="24"/>
          <w:lang w:val="en-US"/>
        </w:rPr>
        <w:t>CCfD for LCH</w:t>
      </w:r>
      <w:r w:rsidR="009C5792" w:rsidRPr="00D806D9">
        <w:rPr>
          <w:rFonts w:asciiTheme="majorBidi" w:hAnsiTheme="majorBidi" w:cstheme="majorBidi"/>
          <w:sz w:val="24"/>
          <w:szCs w:val="24"/>
          <w:lang w:val="en-US"/>
        </w:rPr>
        <w:t xml:space="preserve">. </w:t>
      </w:r>
      <w:r w:rsidR="00645DD8">
        <w:rPr>
          <w:rFonts w:asciiTheme="majorBidi" w:hAnsiTheme="majorBidi" w:cstheme="majorBidi"/>
          <w:sz w:val="24"/>
          <w:szCs w:val="24"/>
          <w:lang w:val="en-US"/>
        </w:rPr>
        <w:t xml:space="preserve">This </w:t>
      </w:r>
      <w:r w:rsidR="009C5792" w:rsidRPr="00D806D9">
        <w:rPr>
          <w:rFonts w:asciiTheme="majorBidi" w:hAnsiTheme="majorBidi" w:cstheme="majorBidi"/>
          <w:sz w:val="24"/>
          <w:szCs w:val="24"/>
          <w:lang w:val="en-US"/>
        </w:rPr>
        <w:t xml:space="preserve">would </w:t>
      </w:r>
      <w:r w:rsidR="00645DD8">
        <w:rPr>
          <w:rFonts w:asciiTheme="majorBidi" w:hAnsiTheme="majorBidi" w:cstheme="majorBidi"/>
          <w:sz w:val="24"/>
          <w:szCs w:val="24"/>
          <w:lang w:val="en-US"/>
        </w:rPr>
        <w:t xml:space="preserve">also </w:t>
      </w:r>
      <w:r w:rsidR="006E77A0" w:rsidRPr="00D806D9">
        <w:rPr>
          <w:rFonts w:asciiTheme="majorBidi" w:hAnsiTheme="majorBidi" w:cstheme="majorBidi"/>
          <w:sz w:val="24"/>
          <w:szCs w:val="24"/>
          <w:lang w:val="en-US"/>
        </w:rPr>
        <w:t xml:space="preserve">hamper </w:t>
      </w:r>
      <w:r w:rsidR="00645DD8">
        <w:rPr>
          <w:rFonts w:asciiTheme="majorBidi" w:hAnsiTheme="majorBidi" w:cstheme="majorBidi"/>
          <w:sz w:val="24"/>
          <w:szCs w:val="24"/>
          <w:lang w:val="en-US"/>
        </w:rPr>
        <w:t xml:space="preserve">the </w:t>
      </w:r>
      <w:r w:rsidR="006E77A0" w:rsidRPr="00D806D9">
        <w:rPr>
          <w:rFonts w:asciiTheme="majorBidi" w:hAnsiTheme="majorBidi" w:cstheme="majorBidi"/>
          <w:sz w:val="24"/>
          <w:szCs w:val="24"/>
          <w:lang w:val="en-US"/>
        </w:rPr>
        <w:t>overall dynamic efficiency.</w:t>
      </w:r>
      <w:r w:rsidRPr="00D806D9">
        <w:rPr>
          <w:rFonts w:asciiTheme="majorBidi" w:hAnsiTheme="majorBidi" w:cstheme="majorBidi"/>
          <w:sz w:val="24"/>
          <w:szCs w:val="24"/>
          <w:lang w:val="en-US"/>
        </w:rPr>
        <w:t xml:space="preserve"> </w:t>
      </w:r>
      <w:r w:rsidR="00E46532"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t </w:t>
      </w:r>
      <w:r w:rsidR="00D37244" w:rsidRPr="00D806D9">
        <w:rPr>
          <w:rFonts w:asciiTheme="majorBidi" w:hAnsiTheme="majorBidi" w:cstheme="majorBidi"/>
          <w:sz w:val="24"/>
          <w:szCs w:val="24"/>
          <w:lang w:val="en-US"/>
        </w:rPr>
        <w:t>also presents</w:t>
      </w:r>
      <w:r w:rsidRPr="00D806D9">
        <w:rPr>
          <w:rFonts w:asciiTheme="majorBidi" w:hAnsiTheme="majorBidi" w:cstheme="majorBidi"/>
          <w:sz w:val="24"/>
          <w:szCs w:val="24"/>
          <w:lang w:val="en-US"/>
        </w:rPr>
        <w:t xml:space="preserve"> the </w:t>
      </w:r>
      <w:r w:rsidR="00D37244" w:rsidRPr="00D806D9">
        <w:rPr>
          <w:rFonts w:asciiTheme="majorBidi" w:hAnsiTheme="majorBidi" w:cstheme="majorBidi"/>
          <w:sz w:val="24"/>
          <w:szCs w:val="24"/>
          <w:lang w:val="en-US"/>
        </w:rPr>
        <w:t xml:space="preserve">possibility </w:t>
      </w:r>
      <w:r w:rsidR="00645DD8">
        <w:rPr>
          <w:rFonts w:asciiTheme="majorBidi" w:hAnsiTheme="majorBidi" w:cstheme="majorBidi"/>
          <w:sz w:val="24"/>
          <w:szCs w:val="24"/>
          <w:lang w:val="en-US"/>
        </w:rPr>
        <w:t>of</w:t>
      </w:r>
      <w:r w:rsidRPr="00D806D9">
        <w:rPr>
          <w:rFonts w:asciiTheme="majorBidi" w:hAnsiTheme="majorBidi" w:cstheme="majorBidi"/>
          <w:sz w:val="24"/>
          <w:szCs w:val="24"/>
          <w:lang w:val="en-US"/>
        </w:rPr>
        <w:t xml:space="preserve"> lock</w:t>
      </w:r>
      <w:r w:rsidR="00645DD8">
        <w:rPr>
          <w:rFonts w:asciiTheme="majorBidi" w:hAnsiTheme="majorBidi" w:cstheme="majorBidi"/>
          <w:sz w:val="24"/>
          <w:szCs w:val="24"/>
          <w:lang w:val="en-US"/>
        </w:rPr>
        <w:t>ing</w:t>
      </w:r>
      <w:r w:rsidRPr="00D806D9">
        <w:rPr>
          <w:rFonts w:asciiTheme="majorBidi" w:hAnsiTheme="majorBidi" w:cstheme="majorBidi"/>
          <w:sz w:val="24"/>
          <w:szCs w:val="24"/>
          <w:lang w:val="en-US"/>
        </w:rPr>
        <w:t xml:space="preserve"> the regulator into a </w:t>
      </w:r>
      <w:r w:rsidR="00EC7EAB" w:rsidRPr="00D806D9">
        <w:rPr>
          <w:rFonts w:asciiTheme="majorBidi" w:hAnsiTheme="majorBidi" w:cstheme="majorBidi"/>
          <w:sz w:val="24"/>
          <w:szCs w:val="24"/>
          <w:lang w:val="en-US"/>
        </w:rPr>
        <w:t>dilemma regarding its climate policies</w:t>
      </w:r>
      <w:r w:rsidR="00D37244" w:rsidRPr="00D806D9">
        <w:rPr>
          <w:rFonts w:asciiTheme="majorBidi" w:hAnsiTheme="majorBidi" w:cstheme="majorBidi"/>
          <w:sz w:val="24"/>
          <w:szCs w:val="24"/>
          <w:lang w:val="en-US"/>
        </w:rPr>
        <w:t>. Further</w:t>
      </w:r>
      <w:r w:rsidR="00645DD8">
        <w:rPr>
          <w:rFonts w:asciiTheme="majorBidi" w:hAnsiTheme="majorBidi" w:cstheme="majorBidi"/>
          <w:sz w:val="24"/>
          <w:szCs w:val="24"/>
          <w:lang w:val="en-US"/>
        </w:rPr>
        <w:t>more</w:t>
      </w:r>
      <w:r w:rsidR="00D37244" w:rsidRPr="00D806D9">
        <w:rPr>
          <w:rFonts w:asciiTheme="majorBidi" w:hAnsiTheme="majorBidi" w:cstheme="majorBidi"/>
          <w:sz w:val="24"/>
          <w:szCs w:val="24"/>
          <w:lang w:val="en-US"/>
        </w:rPr>
        <w:t>, s</w:t>
      </w:r>
      <w:r w:rsidR="00EC7EAB" w:rsidRPr="00D806D9">
        <w:rPr>
          <w:rFonts w:asciiTheme="majorBidi" w:hAnsiTheme="majorBidi" w:cstheme="majorBidi"/>
          <w:sz w:val="24"/>
          <w:szCs w:val="24"/>
          <w:lang w:val="en-US"/>
        </w:rPr>
        <w:t xml:space="preserve">ome risks related to </w:t>
      </w:r>
      <w:r w:rsidR="006E77A0" w:rsidRPr="00D806D9">
        <w:rPr>
          <w:rFonts w:asciiTheme="majorBidi" w:hAnsiTheme="majorBidi" w:cstheme="majorBidi"/>
          <w:sz w:val="24"/>
          <w:szCs w:val="24"/>
          <w:lang w:val="en-US"/>
        </w:rPr>
        <w:t>financial commitments</w:t>
      </w:r>
      <w:r w:rsidR="00EC7EAB" w:rsidRPr="00D806D9">
        <w:rPr>
          <w:rFonts w:asciiTheme="majorBidi" w:hAnsiTheme="majorBidi" w:cstheme="majorBidi"/>
          <w:sz w:val="24"/>
          <w:szCs w:val="24"/>
          <w:lang w:val="en-US"/>
        </w:rPr>
        <w:t xml:space="preserve"> have also been identified. </w:t>
      </w:r>
      <w:r w:rsidR="00D37244" w:rsidRPr="00D806D9">
        <w:rPr>
          <w:rFonts w:asciiTheme="majorBidi" w:hAnsiTheme="majorBidi" w:cstheme="majorBidi"/>
          <w:sz w:val="24"/>
          <w:szCs w:val="24"/>
          <w:lang w:val="en-US"/>
        </w:rPr>
        <w:t xml:space="preserve">All </w:t>
      </w:r>
      <w:r w:rsidR="00C37CF2" w:rsidRPr="00D806D9">
        <w:rPr>
          <w:rFonts w:asciiTheme="majorBidi" w:hAnsiTheme="majorBidi" w:cstheme="majorBidi"/>
          <w:sz w:val="24"/>
          <w:szCs w:val="24"/>
          <w:lang w:val="en-US"/>
        </w:rPr>
        <w:t>these risks</w:t>
      </w:r>
      <w:r w:rsidR="00EC7EAB" w:rsidRPr="00D806D9">
        <w:rPr>
          <w:rFonts w:asciiTheme="majorBidi" w:hAnsiTheme="majorBidi" w:cstheme="majorBidi"/>
          <w:sz w:val="24"/>
          <w:szCs w:val="24"/>
          <w:lang w:val="en-US"/>
        </w:rPr>
        <w:t xml:space="preserve"> </w:t>
      </w:r>
      <w:r w:rsidR="009C5792" w:rsidRPr="00D806D9">
        <w:rPr>
          <w:rFonts w:asciiTheme="majorBidi" w:hAnsiTheme="majorBidi" w:cstheme="majorBidi"/>
          <w:sz w:val="24"/>
          <w:szCs w:val="24"/>
          <w:lang w:val="en-US"/>
        </w:rPr>
        <w:t>could undermine badly the EU-ETS functioning</w:t>
      </w:r>
      <w:r w:rsidR="00645DD8">
        <w:rPr>
          <w:rFonts w:asciiTheme="majorBidi" w:hAnsiTheme="majorBidi" w:cstheme="majorBidi"/>
          <w:sz w:val="24"/>
          <w:szCs w:val="24"/>
          <w:lang w:val="en-US"/>
        </w:rPr>
        <w:t>,</w:t>
      </w:r>
      <w:r w:rsidR="009C5792" w:rsidRPr="00D806D9">
        <w:rPr>
          <w:rFonts w:asciiTheme="majorBidi" w:hAnsiTheme="majorBidi" w:cstheme="majorBidi"/>
          <w:sz w:val="24"/>
          <w:szCs w:val="24"/>
          <w:lang w:val="en-US"/>
        </w:rPr>
        <w:t xml:space="preserve"> which appears to have been stabilized over the last years. Betting on this technology choice, </w:t>
      </w:r>
      <w:r w:rsidR="00EC7EAB" w:rsidRPr="00D806D9">
        <w:rPr>
          <w:rFonts w:asciiTheme="majorBidi" w:hAnsiTheme="majorBidi" w:cstheme="majorBidi"/>
          <w:sz w:val="24"/>
          <w:szCs w:val="24"/>
          <w:lang w:val="en-US"/>
        </w:rPr>
        <w:t xml:space="preserve">CCfD </w:t>
      </w:r>
      <w:r w:rsidR="009C5792" w:rsidRPr="00D806D9">
        <w:rPr>
          <w:rFonts w:asciiTheme="majorBidi" w:hAnsiTheme="majorBidi" w:cstheme="majorBidi"/>
          <w:sz w:val="24"/>
          <w:szCs w:val="24"/>
          <w:lang w:val="en-US"/>
        </w:rPr>
        <w:t>would</w:t>
      </w:r>
      <w:r w:rsidR="00EC7EAB" w:rsidRPr="00D806D9">
        <w:rPr>
          <w:rFonts w:asciiTheme="majorBidi" w:hAnsiTheme="majorBidi" w:cstheme="majorBidi"/>
          <w:sz w:val="24"/>
          <w:szCs w:val="24"/>
          <w:lang w:val="en-US"/>
        </w:rPr>
        <w:t xml:space="preserve"> </w:t>
      </w:r>
      <w:r w:rsidR="00D806D9">
        <w:rPr>
          <w:rFonts w:asciiTheme="majorBidi" w:hAnsiTheme="majorBidi" w:cstheme="majorBidi"/>
          <w:sz w:val="24"/>
          <w:szCs w:val="24"/>
          <w:lang w:val="en-US"/>
        </w:rPr>
        <w:t>fail</w:t>
      </w:r>
      <w:r w:rsidR="00EC7EAB" w:rsidRPr="00D806D9">
        <w:rPr>
          <w:rFonts w:asciiTheme="majorBidi" w:hAnsiTheme="majorBidi" w:cstheme="majorBidi"/>
          <w:sz w:val="24"/>
          <w:szCs w:val="24"/>
          <w:lang w:val="en-US"/>
        </w:rPr>
        <w:t xml:space="preserve"> to support </w:t>
      </w:r>
      <w:r w:rsidR="006E65AD" w:rsidRPr="00D806D9">
        <w:rPr>
          <w:rFonts w:asciiTheme="majorBidi" w:hAnsiTheme="majorBidi" w:cstheme="majorBidi"/>
          <w:sz w:val="24"/>
          <w:szCs w:val="24"/>
          <w:lang w:val="en-US"/>
        </w:rPr>
        <w:t xml:space="preserve">the </w:t>
      </w:r>
      <w:r w:rsidR="00EC7EAB" w:rsidRPr="00D806D9">
        <w:rPr>
          <w:rFonts w:asciiTheme="majorBidi" w:hAnsiTheme="majorBidi" w:cstheme="majorBidi"/>
          <w:sz w:val="24"/>
          <w:szCs w:val="24"/>
          <w:lang w:val="en-US"/>
        </w:rPr>
        <w:t>EU</w:t>
      </w:r>
      <w:r w:rsidR="006E65AD" w:rsidRPr="00D806D9">
        <w:rPr>
          <w:rFonts w:asciiTheme="majorBidi" w:hAnsiTheme="majorBidi" w:cstheme="majorBidi"/>
          <w:sz w:val="24"/>
          <w:szCs w:val="24"/>
          <w:lang w:val="en-US"/>
        </w:rPr>
        <w:t xml:space="preserve"> energy and climate ambitions, independently </w:t>
      </w:r>
      <w:r w:rsidR="00151723">
        <w:rPr>
          <w:rFonts w:asciiTheme="majorBidi" w:hAnsiTheme="majorBidi" w:cstheme="majorBidi"/>
          <w:sz w:val="24"/>
          <w:szCs w:val="24"/>
          <w:lang w:val="en-US"/>
        </w:rPr>
        <w:t>of</w:t>
      </w:r>
      <w:r w:rsidR="006E65AD" w:rsidRPr="00D806D9">
        <w:rPr>
          <w:rFonts w:asciiTheme="majorBidi" w:hAnsiTheme="majorBidi" w:cstheme="majorBidi"/>
          <w:sz w:val="24"/>
          <w:szCs w:val="24"/>
          <w:lang w:val="en-US"/>
        </w:rPr>
        <w:t xml:space="preserve"> its efficiency.</w:t>
      </w:r>
      <w:r w:rsidR="00EC7EAB" w:rsidRPr="00D806D9">
        <w:rPr>
          <w:rFonts w:asciiTheme="majorBidi" w:hAnsiTheme="majorBidi" w:cstheme="majorBidi"/>
          <w:sz w:val="24"/>
          <w:szCs w:val="24"/>
          <w:lang w:val="en-US"/>
        </w:rPr>
        <w:t xml:space="preserve"> </w:t>
      </w:r>
      <w:r w:rsidR="006E65AD" w:rsidRPr="00D806D9">
        <w:rPr>
          <w:rFonts w:asciiTheme="majorBidi" w:hAnsiTheme="majorBidi" w:cstheme="majorBidi"/>
          <w:sz w:val="24"/>
          <w:szCs w:val="24"/>
          <w:lang w:val="en-US"/>
        </w:rPr>
        <w:t xml:space="preserve">EU-ETS price floor, </w:t>
      </w:r>
      <w:r w:rsidR="00E46532" w:rsidRPr="00D806D9">
        <w:rPr>
          <w:rFonts w:asciiTheme="majorBidi" w:hAnsiTheme="majorBidi" w:cstheme="majorBidi"/>
          <w:sz w:val="24"/>
          <w:szCs w:val="24"/>
          <w:lang w:val="en-US"/>
        </w:rPr>
        <w:t xml:space="preserve">public/private </w:t>
      </w:r>
      <w:r w:rsidR="006E65AD" w:rsidRPr="00D806D9">
        <w:rPr>
          <w:rFonts w:asciiTheme="majorBidi" w:hAnsiTheme="majorBidi" w:cstheme="majorBidi"/>
          <w:sz w:val="24"/>
          <w:szCs w:val="24"/>
          <w:lang w:val="en-US"/>
        </w:rPr>
        <w:t>mutually beneficial innovation support</w:t>
      </w:r>
      <w:r w:rsidR="00E46532" w:rsidRPr="00D806D9">
        <w:rPr>
          <w:rFonts w:asciiTheme="majorBidi" w:hAnsiTheme="majorBidi" w:cstheme="majorBidi"/>
          <w:sz w:val="24"/>
          <w:szCs w:val="24"/>
          <w:lang w:val="en-US"/>
        </w:rPr>
        <w:t>s</w:t>
      </w:r>
      <w:r w:rsidR="00151723">
        <w:rPr>
          <w:rFonts w:asciiTheme="majorBidi" w:hAnsiTheme="majorBidi" w:cstheme="majorBidi"/>
          <w:sz w:val="24"/>
          <w:szCs w:val="24"/>
          <w:lang w:val="en-US"/>
        </w:rPr>
        <w:t>,</w:t>
      </w:r>
      <w:r w:rsidR="006E65AD" w:rsidRPr="00D806D9">
        <w:rPr>
          <w:rFonts w:asciiTheme="majorBidi" w:hAnsiTheme="majorBidi" w:cstheme="majorBidi"/>
          <w:sz w:val="24"/>
          <w:szCs w:val="24"/>
          <w:lang w:val="en-US"/>
        </w:rPr>
        <w:t xml:space="preserve"> and e</w:t>
      </w:r>
      <w:r w:rsidR="00215560" w:rsidRPr="00D806D9">
        <w:rPr>
          <w:rFonts w:asciiTheme="majorBidi" w:hAnsiTheme="majorBidi" w:cstheme="majorBidi"/>
          <w:sz w:val="24"/>
          <w:szCs w:val="24"/>
          <w:lang w:val="en-US"/>
        </w:rPr>
        <w:t>nergy</w:t>
      </w:r>
      <w:r w:rsidR="00645DD8">
        <w:rPr>
          <w:rFonts w:asciiTheme="majorBidi" w:hAnsiTheme="majorBidi" w:cstheme="majorBidi"/>
          <w:sz w:val="24"/>
          <w:szCs w:val="24"/>
          <w:lang w:val="en-US"/>
        </w:rPr>
        <w:t>-</w:t>
      </w:r>
      <w:r w:rsidR="00215560" w:rsidRPr="00D806D9">
        <w:rPr>
          <w:rFonts w:asciiTheme="majorBidi" w:hAnsiTheme="majorBidi" w:cstheme="majorBidi"/>
          <w:sz w:val="24"/>
          <w:szCs w:val="24"/>
          <w:lang w:val="en-US"/>
        </w:rPr>
        <w:t>sufficiency</w:t>
      </w:r>
      <w:r w:rsidR="006E65AD" w:rsidRPr="00D806D9">
        <w:rPr>
          <w:rFonts w:asciiTheme="majorBidi" w:hAnsiTheme="majorBidi" w:cstheme="majorBidi"/>
          <w:sz w:val="24"/>
          <w:szCs w:val="24"/>
          <w:lang w:val="en-US"/>
        </w:rPr>
        <w:t xml:space="preserve"> planification could prove to be more </w:t>
      </w:r>
      <w:r w:rsidR="00E46532" w:rsidRPr="00D806D9">
        <w:rPr>
          <w:rFonts w:asciiTheme="majorBidi" w:hAnsiTheme="majorBidi" w:cstheme="majorBidi"/>
          <w:sz w:val="24"/>
          <w:szCs w:val="24"/>
          <w:lang w:val="en-US"/>
        </w:rPr>
        <w:t xml:space="preserve">economically and </w:t>
      </w:r>
      <w:r w:rsidR="006E65AD" w:rsidRPr="00D806D9">
        <w:rPr>
          <w:rFonts w:asciiTheme="majorBidi" w:hAnsiTheme="majorBidi" w:cstheme="majorBidi"/>
          <w:sz w:val="24"/>
          <w:szCs w:val="24"/>
          <w:lang w:val="en-US"/>
        </w:rPr>
        <w:t>environmentally efficient.</w:t>
      </w:r>
    </w:p>
    <w:p w14:paraId="3D02695F" w14:textId="20914398" w:rsidR="004744CB" w:rsidRPr="00D806D9" w:rsidRDefault="004744CB" w:rsidP="004C71FD">
      <w:pPr>
        <w:spacing w:after="0" w:line="480" w:lineRule="auto"/>
        <w:jc w:val="both"/>
        <w:rPr>
          <w:rFonts w:asciiTheme="majorBidi" w:hAnsiTheme="majorBidi" w:cstheme="majorBidi"/>
          <w:sz w:val="24"/>
          <w:szCs w:val="24"/>
          <w:lang w:val="en-US"/>
        </w:rPr>
      </w:pPr>
    </w:p>
    <w:p w14:paraId="7FDAEF23" w14:textId="77777777" w:rsidR="004744CB" w:rsidRPr="00D806D9" w:rsidRDefault="004744CB" w:rsidP="004C71FD">
      <w:pPr>
        <w:spacing w:after="0" w:line="480" w:lineRule="auto"/>
        <w:jc w:val="both"/>
        <w:rPr>
          <w:rFonts w:asciiTheme="majorBidi" w:hAnsiTheme="majorBidi" w:cstheme="majorBidi"/>
          <w:sz w:val="24"/>
          <w:szCs w:val="24"/>
          <w:lang w:val="en-US"/>
        </w:rPr>
      </w:pPr>
    </w:p>
    <w:p w14:paraId="08B5A026" w14:textId="77777777" w:rsidR="005F34D9" w:rsidRPr="00D806D9" w:rsidRDefault="005F34D9" w:rsidP="004C71FD">
      <w:pPr>
        <w:spacing w:after="0" w:line="480" w:lineRule="auto"/>
        <w:rPr>
          <w:rFonts w:asciiTheme="majorBidi" w:hAnsiTheme="majorBidi" w:cstheme="majorBidi"/>
          <w:sz w:val="24"/>
          <w:szCs w:val="24"/>
          <w:lang w:val="en-US"/>
        </w:rPr>
      </w:pPr>
      <w:r w:rsidRPr="00D806D9">
        <w:rPr>
          <w:rFonts w:asciiTheme="majorBidi" w:hAnsiTheme="majorBidi" w:cstheme="majorBidi"/>
          <w:sz w:val="24"/>
          <w:szCs w:val="24"/>
          <w:lang w:val="en-US"/>
        </w:rPr>
        <w:br w:type="page"/>
      </w:r>
    </w:p>
    <w:p w14:paraId="1600051B" w14:textId="48978008" w:rsidR="00A00E12" w:rsidRPr="00D806D9" w:rsidRDefault="00A00E12" w:rsidP="00A00E12">
      <w:pPr>
        <w:spacing w:before="240" w:after="240" w:line="360" w:lineRule="auto"/>
        <w:jc w:val="center"/>
        <w:rPr>
          <w:rFonts w:asciiTheme="majorBidi" w:hAnsiTheme="majorBidi" w:cstheme="majorBidi"/>
          <w:b/>
          <w:bCs/>
          <w:sz w:val="36"/>
          <w:szCs w:val="36"/>
          <w:lang w:val="en-US"/>
        </w:rPr>
      </w:pPr>
      <w:r w:rsidRPr="00D806D9">
        <w:rPr>
          <w:rFonts w:asciiTheme="majorBidi" w:hAnsiTheme="majorBidi" w:cstheme="majorBidi"/>
          <w:b/>
          <w:bCs/>
          <w:sz w:val="36"/>
          <w:szCs w:val="36"/>
          <w:lang w:val="en-US"/>
        </w:rPr>
        <w:lastRenderedPageBreak/>
        <w:t>Bibliography</w:t>
      </w:r>
    </w:p>
    <w:p w14:paraId="739682B6" w14:textId="08F82905" w:rsidR="00E60725" w:rsidRPr="00D806D9" w:rsidRDefault="00E60725" w:rsidP="00003440">
      <w:pPr>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Akerboom, S., </w:t>
      </w:r>
      <w:proofErr w:type="spellStart"/>
      <w:r w:rsidRPr="00D806D9">
        <w:rPr>
          <w:rFonts w:asciiTheme="majorBidi" w:hAnsiTheme="majorBidi" w:cstheme="majorBidi"/>
          <w:sz w:val="24"/>
          <w:szCs w:val="24"/>
          <w:lang w:val="en-US"/>
        </w:rPr>
        <w:t>Waldmann</w:t>
      </w:r>
      <w:proofErr w:type="spellEnd"/>
      <w:r w:rsidRPr="00D806D9">
        <w:rPr>
          <w:rFonts w:asciiTheme="majorBidi" w:hAnsiTheme="majorBidi" w:cstheme="majorBidi"/>
          <w:sz w:val="24"/>
          <w:szCs w:val="24"/>
          <w:lang w:val="en-US"/>
        </w:rPr>
        <w:t xml:space="preserve">, S., Mukherjee, A., </w:t>
      </w:r>
      <w:proofErr w:type="spellStart"/>
      <w:r w:rsidRPr="00D806D9">
        <w:rPr>
          <w:rFonts w:asciiTheme="majorBidi" w:hAnsiTheme="majorBidi" w:cstheme="majorBidi"/>
          <w:sz w:val="24"/>
          <w:szCs w:val="24"/>
          <w:lang w:val="en-US"/>
        </w:rPr>
        <w:t>Agaton</w:t>
      </w:r>
      <w:proofErr w:type="spellEnd"/>
      <w:r w:rsidRPr="00D806D9">
        <w:rPr>
          <w:rFonts w:asciiTheme="majorBidi" w:hAnsiTheme="majorBidi" w:cstheme="majorBidi"/>
          <w:sz w:val="24"/>
          <w:szCs w:val="24"/>
          <w:lang w:val="en-US"/>
        </w:rPr>
        <w:t xml:space="preserve">, C., Sanders M., &amp; Kramer, G.J. (2021). Different this Time? The Prospects of CCS in the Netherlands in the 2020s. </w:t>
      </w:r>
      <w:r w:rsidRPr="00D806D9">
        <w:rPr>
          <w:rFonts w:asciiTheme="majorBidi" w:hAnsiTheme="majorBidi" w:cstheme="majorBidi"/>
          <w:i/>
          <w:iCs/>
          <w:sz w:val="24"/>
          <w:szCs w:val="24"/>
          <w:lang w:val="en-US"/>
        </w:rPr>
        <w:t>Frontiers in Energy Research</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9</w:t>
      </w:r>
      <w:r w:rsidRPr="00D806D9">
        <w:rPr>
          <w:rFonts w:asciiTheme="majorBidi" w:hAnsiTheme="majorBidi" w:cstheme="majorBidi"/>
          <w:sz w:val="24"/>
          <w:szCs w:val="24"/>
          <w:lang w:val="en-US"/>
        </w:rPr>
        <w:t xml:space="preserve">, Article 644796. </w:t>
      </w:r>
      <w:hyperlink r:id="rId17"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May 15</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w:t>
      </w:r>
    </w:p>
    <w:p w14:paraId="334A53CC" w14:textId="77777777" w:rsidR="00E60725" w:rsidRPr="00D806D9" w:rsidRDefault="00E60725" w:rsidP="00003440">
      <w:pPr>
        <w:spacing w:after="0" w:line="240" w:lineRule="auto"/>
        <w:jc w:val="both"/>
        <w:rPr>
          <w:rFonts w:asciiTheme="majorBidi" w:hAnsiTheme="majorBidi" w:cstheme="majorBidi"/>
          <w:sz w:val="24"/>
          <w:szCs w:val="24"/>
          <w:lang w:val="en-US"/>
        </w:rPr>
      </w:pPr>
    </w:p>
    <w:p w14:paraId="7C4F8269" w14:textId="6138BAA1" w:rsidR="00E60725" w:rsidRPr="00D806D9" w:rsidRDefault="00E60725" w:rsidP="00003440">
      <w:pPr>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Anderson, K., &amp; Broderick, J. (2017). </w:t>
      </w:r>
      <w:r w:rsidRPr="00D806D9">
        <w:rPr>
          <w:rFonts w:asciiTheme="majorBidi" w:hAnsiTheme="majorBidi" w:cstheme="majorBidi"/>
          <w:i/>
          <w:iCs/>
          <w:sz w:val="24"/>
          <w:szCs w:val="24"/>
          <w:lang w:val="en-US"/>
        </w:rPr>
        <w:t>Natural Gas and Climate Change</w:t>
      </w:r>
      <w:r w:rsidRPr="00D806D9">
        <w:rPr>
          <w:rFonts w:asciiTheme="majorBidi" w:hAnsiTheme="majorBidi" w:cstheme="majorBidi"/>
          <w:sz w:val="24"/>
          <w:szCs w:val="24"/>
          <w:lang w:val="en-US"/>
        </w:rPr>
        <w:t xml:space="preserve">. University of Manchester. </w:t>
      </w:r>
      <w:hyperlink r:id="rId18"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April 4</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w:t>
      </w:r>
    </w:p>
    <w:p w14:paraId="585CA2A8" w14:textId="77777777" w:rsidR="00E60725" w:rsidRPr="00D806D9" w:rsidRDefault="00E60725" w:rsidP="00003440">
      <w:pPr>
        <w:spacing w:after="0" w:line="240" w:lineRule="auto"/>
        <w:jc w:val="both"/>
        <w:rPr>
          <w:rFonts w:asciiTheme="majorBidi" w:hAnsiTheme="majorBidi" w:cstheme="majorBidi"/>
          <w:sz w:val="24"/>
          <w:szCs w:val="24"/>
          <w:lang w:val="en-US"/>
        </w:rPr>
      </w:pPr>
    </w:p>
    <w:p w14:paraId="4F3387BF" w14:textId="240AB94B" w:rsidR="00E60725" w:rsidRPr="00D806D9" w:rsidRDefault="00E60725"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t>Andersson, J.</w:t>
      </w:r>
      <w:r w:rsidR="00AE115D"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&amp; Grönkvist, S. (2019). Large-Scale Storage of Hydrogen. </w:t>
      </w:r>
      <w:r w:rsidRPr="00D806D9">
        <w:rPr>
          <w:rFonts w:asciiTheme="majorBidi" w:hAnsiTheme="majorBidi" w:cstheme="majorBidi"/>
          <w:i/>
          <w:iCs/>
          <w:sz w:val="24"/>
          <w:szCs w:val="24"/>
          <w:lang w:val="en-US"/>
        </w:rPr>
        <w:t>International Journal of Hydrogen Energy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44</w:t>
      </w:r>
      <w:r w:rsidRPr="00D806D9">
        <w:rPr>
          <w:rFonts w:asciiTheme="majorBidi" w:hAnsiTheme="majorBidi" w:cstheme="majorBidi"/>
          <w:sz w:val="24"/>
          <w:szCs w:val="24"/>
          <w:lang w:val="en-US"/>
        </w:rPr>
        <w:t xml:space="preserve">(23), 11901-11919. </w:t>
      </w:r>
      <w:hyperlink r:id="rId19"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April 4</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w:t>
      </w:r>
    </w:p>
    <w:p w14:paraId="4552660A" w14:textId="77777777" w:rsidR="00E60725" w:rsidRPr="00D806D9" w:rsidRDefault="00E60725" w:rsidP="00003440">
      <w:pPr>
        <w:pStyle w:val="FootnoteText"/>
        <w:jc w:val="both"/>
        <w:rPr>
          <w:rFonts w:asciiTheme="majorBidi" w:hAnsiTheme="majorBidi" w:cstheme="majorBidi"/>
          <w:sz w:val="24"/>
          <w:szCs w:val="24"/>
          <w:lang w:val="en-US"/>
        </w:rPr>
      </w:pPr>
    </w:p>
    <w:p w14:paraId="06EB8BB9" w14:textId="57B9B065"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Babiker, M., Reilly, J., &amp; </w:t>
      </w:r>
      <w:proofErr w:type="spellStart"/>
      <w:r w:rsidRPr="00D806D9">
        <w:rPr>
          <w:rFonts w:asciiTheme="majorBidi" w:hAnsiTheme="majorBidi" w:cstheme="majorBidi"/>
          <w:sz w:val="24"/>
          <w:szCs w:val="24"/>
          <w:lang w:val="en-US"/>
        </w:rPr>
        <w:t>Viguier</w:t>
      </w:r>
      <w:proofErr w:type="spellEnd"/>
      <w:r w:rsidRPr="00D806D9">
        <w:rPr>
          <w:rFonts w:asciiTheme="majorBidi" w:hAnsiTheme="majorBidi" w:cstheme="majorBidi"/>
          <w:sz w:val="24"/>
          <w:szCs w:val="24"/>
          <w:lang w:val="en-US"/>
        </w:rPr>
        <w:t xml:space="preserve">, L. (2004). Is </w:t>
      </w:r>
      <w:r w:rsidR="009F0261"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nternational </w:t>
      </w:r>
      <w:r w:rsidR="009F0261"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missions </w:t>
      </w:r>
      <w:r w:rsidR="009F0261"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rading </w:t>
      </w:r>
      <w:r w:rsidR="009F0261" w:rsidRPr="00D806D9">
        <w:rPr>
          <w:rFonts w:asciiTheme="majorBidi" w:hAnsiTheme="majorBidi" w:cstheme="majorBidi"/>
          <w:sz w:val="24"/>
          <w:szCs w:val="24"/>
          <w:lang w:val="en-US"/>
        </w:rPr>
        <w:t>A</w:t>
      </w:r>
      <w:r w:rsidRPr="00D806D9">
        <w:rPr>
          <w:rFonts w:asciiTheme="majorBidi" w:hAnsiTheme="majorBidi" w:cstheme="majorBidi"/>
          <w:sz w:val="24"/>
          <w:szCs w:val="24"/>
          <w:lang w:val="en-US"/>
        </w:rPr>
        <w:t xml:space="preserve">lways </w:t>
      </w:r>
      <w:r w:rsidR="009F0261" w:rsidRPr="00D806D9">
        <w:rPr>
          <w:rFonts w:asciiTheme="majorBidi" w:hAnsiTheme="majorBidi" w:cstheme="majorBidi"/>
          <w:sz w:val="24"/>
          <w:szCs w:val="24"/>
          <w:lang w:val="en-US"/>
        </w:rPr>
        <w:t>B</w:t>
      </w:r>
      <w:r w:rsidRPr="00D806D9">
        <w:rPr>
          <w:rFonts w:asciiTheme="majorBidi" w:hAnsiTheme="majorBidi" w:cstheme="majorBidi"/>
          <w:sz w:val="24"/>
          <w:szCs w:val="24"/>
          <w:lang w:val="en-US"/>
        </w:rPr>
        <w:t xml:space="preserve">eneficial?. </w:t>
      </w:r>
      <w:r w:rsidRPr="00D806D9">
        <w:rPr>
          <w:rFonts w:asciiTheme="majorBidi" w:hAnsiTheme="majorBidi" w:cstheme="majorBidi"/>
          <w:i/>
          <w:iCs/>
          <w:sz w:val="24"/>
          <w:szCs w:val="24"/>
          <w:lang w:val="en-US"/>
        </w:rPr>
        <w:t>The Energy Journal</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25</w:t>
      </w:r>
      <w:r w:rsidRPr="00D806D9">
        <w:rPr>
          <w:rFonts w:asciiTheme="majorBidi" w:hAnsiTheme="majorBidi" w:cstheme="majorBidi"/>
          <w:sz w:val="24"/>
          <w:szCs w:val="24"/>
          <w:lang w:val="en-US"/>
        </w:rPr>
        <w:t>(2)</w:t>
      </w:r>
      <w:r w:rsidR="00871893" w:rsidRPr="00D806D9">
        <w:rPr>
          <w:rFonts w:asciiTheme="majorBidi" w:hAnsiTheme="majorBidi" w:cstheme="majorBidi"/>
          <w:sz w:val="24"/>
          <w:szCs w:val="24"/>
          <w:lang w:val="en-US"/>
        </w:rPr>
        <w:t xml:space="preserve">, 33-56. </w:t>
      </w:r>
      <w:hyperlink r:id="rId20" w:history="1">
        <w:r w:rsidR="00871893" w:rsidRPr="00D806D9">
          <w:rPr>
            <w:rStyle w:val="Hyperlink"/>
            <w:rFonts w:asciiTheme="majorBidi" w:hAnsiTheme="majorBidi" w:cstheme="majorBidi"/>
            <w:sz w:val="24"/>
            <w:szCs w:val="24"/>
            <w:lang w:val="en-US"/>
          </w:rPr>
          <w:t>Link</w:t>
        </w:r>
      </w:hyperlink>
      <w:r w:rsidR="009F0261" w:rsidRPr="00D806D9">
        <w:rPr>
          <w:rFonts w:asciiTheme="majorBidi" w:hAnsiTheme="majorBidi" w:cstheme="majorBidi"/>
          <w:sz w:val="24"/>
          <w:szCs w:val="24"/>
          <w:lang w:val="en-US"/>
        </w:rPr>
        <w:t xml:space="preserve"> (accessed on May 15</w:t>
      </w:r>
      <w:r w:rsidR="009F0261" w:rsidRPr="00D806D9">
        <w:rPr>
          <w:rFonts w:asciiTheme="majorBidi" w:hAnsiTheme="majorBidi" w:cstheme="majorBidi"/>
          <w:sz w:val="24"/>
          <w:szCs w:val="24"/>
          <w:vertAlign w:val="superscript"/>
          <w:lang w:val="en-US"/>
        </w:rPr>
        <w:t>th</w:t>
      </w:r>
      <w:r w:rsidR="009F0261" w:rsidRPr="00D806D9">
        <w:rPr>
          <w:rFonts w:asciiTheme="majorBidi" w:hAnsiTheme="majorBidi" w:cstheme="majorBidi"/>
          <w:sz w:val="24"/>
          <w:szCs w:val="24"/>
          <w:lang w:val="en-US"/>
        </w:rPr>
        <w:t xml:space="preserve"> 2022)</w:t>
      </w:r>
    </w:p>
    <w:p w14:paraId="7C805FAF" w14:textId="77777777" w:rsidR="00871893" w:rsidRPr="00D806D9" w:rsidRDefault="00871893" w:rsidP="00003440">
      <w:pPr>
        <w:autoSpaceDE w:val="0"/>
        <w:autoSpaceDN w:val="0"/>
        <w:adjustRightInd w:val="0"/>
        <w:spacing w:after="0" w:line="240" w:lineRule="auto"/>
        <w:jc w:val="both"/>
        <w:rPr>
          <w:rFonts w:asciiTheme="majorBidi" w:hAnsiTheme="majorBidi" w:cstheme="majorBidi"/>
          <w:sz w:val="24"/>
          <w:szCs w:val="24"/>
          <w:lang w:val="en-US"/>
        </w:rPr>
      </w:pPr>
    </w:p>
    <w:p w14:paraId="155BE9D0" w14:textId="527FF4E9"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Baldwin, R. (2008). Regulation Lite: The Rise of Emissions Trading</w:t>
      </w:r>
      <w:r w:rsidR="009F0261"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i/>
          <w:iCs/>
          <w:color w:val="000000"/>
          <w:sz w:val="24"/>
          <w:szCs w:val="24"/>
          <w:lang w:val="en-US" w:eastAsia="fr-FR" w:bidi="he-IL"/>
        </w:rPr>
        <w:t>Regulation &amp; Governance</w:t>
      </w:r>
      <w:r w:rsidRPr="00D806D9">
        <w:rPr>
          <w:rFonts w:asciiTheme="majorBidi" w:eastAsia="Times New Roman" w:hAnsiTheme="majorBidi" w:cstheme="majorBidi"/>
          <w:color w:val="000000"/>
          <w:sz w:val="24"/>
          <w:szCs w:val="24"/>
          <w:lang w:val="en-US" w:eastAsia="fr-FR" w:bidi="he-IL"/>
        </w:rPr>
        <w:t>,</w:t>
      </w:r>
      <w:r w:rsidR="009F0261"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i/>
          <w:iCs/>
          <w:color w:val="000000"/>
          <w:sz w:val="24"/>
          <w:szCs w:val="24"/>
          <w:lang w:val="en-US" w:eastAsia="fr-FR" w:bidi="he-IL"/>
        </w:rPr>
        <w:t>2</w:t>
      </w:r>
      <w:r w:rsidRPr="00D806D9">
        <w:rPr>
          <w:rFonts w:asciiTheme="majorBidi" w:eastAsia="Times New Roman" w:hAnsiTheme="majorBidi" w:cstheme="majorBidi"/>
          <w:color w:val="000000"/>
          <w:sz w:val="24"/>
          <w:szCs w:val="24"/>
          <w:lang w:val="en-US" w:eastAsia="fr-FR" w:bidi="he-IL"/>
        </w:rPr>
        <w:t>(2),</w:t>
      </w:r>
      <w:r w:rsidR="009F0261"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color w:val="000000"/>
          <w:sz w:val="24"/>
          <w:szCs w:val="24"/>
          <w:lang w:val="en-US" w:eastAsia="fr-FR" w:bidi="he-IL"/>
        </w:rPr>
        <w:t>193</w:t>
      </w:r>
      <w:r w:rsidR="009F0261" w:rsidRPr="00D806D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215</w:t>
      </w:r>
      <w:r w:rsidR="009F0261" w:rsidRPr="00D806D9">
        <w:rPr>
          <w:rFonts w:asciiTheme="majorBidi" w:eastAsia="Times New Roman" w:hAnsiTheme="majorBidi" w:cstheme="majorBidi"/>
          <w:color w:val="000000"/>
          <w:sz w:val="24"/>
          <w:szCs w:val="24"/>
          <w:lang w:val="en-US" w:eastAsia="fr-FR" w:bidi="he-IL"/>
        </w:rPr>
        <w:t xml:space="preserve">. </w:t>
      </w:r>
      <w:hyperlink r:id="rId21" w:history="1">
        <w:r w:rsidR="009F0261" w:rsidRPr="00D806D9">
          <w:rPr>
            <w:rStyle w:val="Hyperlink"/>
            <w:rFonts w:asciiTheme="majorBidi" w:eastAsia="Times New Roman" w:hAnsiTheme="majorBidi" w:cstheme="majorBidi"/>
            <w:sz w:val="24"/>
            <w:szCs w:val="24"/>
            <w:lang w:val="en-US" w:eastAsia="fr-FR" w:bidi="he-IL"/>
          </w:rPr>
          <w:t>Link</w:t>
        </w:r>
      </w:hyperlink>
      <w:r w:rsidRPr="00D806D9">
        <w:rPr>
          <w:rFonts w:asciiTheme="majorBidi" w:eastAsia="Times New Roman" w:hAnsiTheme="majorBidi" w:cstheme="majorBidi"/>
          <w:color w:val="000000"/>
          <w:sz w:val="24"/>
          <w:szCs w:val="24"/>
          <w:lang w:val="en-US" w:eastAsia="fr-FR" w:bidi="he-IL"/>
        </w:rPr>
        <w:t xml:space="preserve"> </w:t>
      </w:r>
      <w:r w:rsidR="009F0261" w:rsidRPr="00D806D9">
        <w:rPr>
          <w:rFonts w:asciiTheme="majorBidi" w:hAnsiTheme="majorBidi" w:cstheme="majorBidi"/>
          <w:sz w:val="24"/>
          <w:szCs w:val="24"/>
          <w:lang w:val="en-US"/>
        </w:rPr>
        <w:t>(accessed on March 15</w:t>
      </w:r>
      <w:r w:rsidR="009F0261" w:rsidRPr="00D806D9">
        <w:rPr>
          <w:rFonts w:asciiTheme="majorBidi" w:hAnsiTheme="majorBidi" w:cstheme="majorBidi"/>
          <w:sz w:val="24"/>
          <w:szCs w:val="24"/>
          <w:vertAlign w:val="superscript"/>
          <w:lang w:val="en-US"/>
        </w:rPr>
        <w:t>th</w:t>
      </w:r>
      <w:r w:rsidR="009F0261" w:rsidRPr="00D806D9">
        <w:rPr>
          <w:rFonts w:asciiTheme="majorBidi" w:hAnsiTheme="majorBidi" w:cstheme="majorBidi"/>
          <w:sz w:val="24"/>
          <w:szCs w:val="24"/>
          <w:lang w:val="en-US"/>
        </w:rPr>
        <w:t xml:space="preserve"> 2022)</w:t>
      </w:r>
    </w:p>
    <w:p w14:paraId="07842340" w14:textId="77777777" w:rsidR="009F0261" w:rsidRPr="00D806D9" w:rsidRDefault="009F0261"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
    <w:p w14:paraId="02258D7C" w14:textId="5CF266B8"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Bateson, G., Jackson, D. D., Haley, J., &amp; </w:t>
      </w:r>
      <w:proofErr w:type="spellStart"/>
      <w:r w:rsidRPr="00D806D9">
        <w:rPr>
          <w:rFonts w:asciiTheme="majorBidi" w:eastAsia="Times New Roman" w:hAnsiTheme="majorBidi" w:cstheme="majorBidi"/>
          <w:sz w:val="24"/>
          <w:szCs w:val="24"/>
          <w:lang w:val="en-US" w:eastAsia="fr-FR" w:bidi="he-IL"/>
        </w:rPr>
        <w:t>Weakland</w:t>
      </w:r>
      <w:proofErr w:type="spellEnd"/>
      <w:r w:rsidRPr="00D806D9">
        <w:rPr>
          <w:rFonts w:asciiTheme="majorBidi" w:eastAsia="Times New Roman" w:hAnsiTheme="majorBidi" w:cstheme="majorBidi"/>
          <w:sz w:val="24"/>
          <w:szCs w:val="24"/>
          <w:lang w:val="en-US" w:eastAsia="fr-FR" w:bidi="he-IL"/>
        </w:rPr>
        <w:t>, J. (1956)</w:t>
      </w:r>
      <w:r w:rsidR="009F0261"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 xml:space="preserve"> Toward a Theory of Schizophrenia. </w:t>
      </w:r>
      <w:r w:rsidRPr="00D806D9">
        <w:rPr>
          <w:rFonts w:asciiTheme="majorBidi" w:eastAsia="Times New Roman" w:hAnsiTheme="majorBidi" w:cstheme="majorBidi"/>
          <w:i/>
          <w:iCs/>
          <w:sz w:val="24"/>
          <w:szCs w:val="24"/>
          <w:lang w:val="en-US" w:eastAsia="fr-FR" w:bidi="he-IL"/>
        </w:rPr>
        <w:t>Behavioral Science</w:t>
      </w:r>
      <w:r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i/>
          <w:iCs/>
          <w:sz w:val="24"/>
          <w:szCs w:val="24"/>
          <w:lang w:val="en-US" w:eastAsia="fr-FR" w:bidi="he-IL"/>
        </w:rPr>
        <w:t>1</w:t>
      </w:r>
      <w:r w:rsidRPr="00D806D9">
        <w:rPr>
          <w:rFonts w:asciiTheme="majorBidi" w:eastAsia="Times New Roman" w:hAnsiTheme="majorBidi" w:cstheme="majorBidi"/>
          <w:sz w:val="24"/>
          <w:szCs w:val="24"/>
          <w:lang w:val="en-US" w:eastAsia="fr-FR" w:bidi="he-IL"/>
        </w:rPr>
        <w:t xml:space="preserve">(4), 251-254. </w:t>
      </w:r>
      <w:hyperlink r:id="rId22" w:history="1">
        <w:r w:rsidRPr="00D806D9">
          <w:rPr>
            <w:rStyle w:val="Hyperlink"/>
            <w:rFonts w:asciiTheme="majorBidi" w:eastAsia="Times New Roman" w:hAnsiTheme="majorBidi" w:cstheme="majorBidi"/>
            <w:sz w:val="24"/>
            <w:szCs w:val="24"/>
            <w:lang w:val="en-US" w:eastAsia="fr-FR" w:bidi="he-IL"/>
          </w:rPr>
          <w:t>Link</w:t>
        </w:r>
      </w:hyperlink>
    </w:p>
    <w:p w14:paraId="52747259" w14:textId="77777777" w:rsidR="009F0261" w:rsidRPr="00D806D9" w:rsidRDefault="009F0261"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75B17502" w14:textId="5575D21E" w:rsidR="00E60725" w:rsidRPr="00D806D9" w:rsidRDefault="00E60725" w:rsidP="00003440">
      <w:pPr>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Bayer, P.</w:t>
      </w:r>
      <w:r w:rsidR="00AE115D"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 xml:space="preserve"> &amp; </w:t>
      </w:r>
      <w:proofErr w:type="spellStart"/>
      <w:r w:rsidRPr="00D806D9">
        <w:rPr>
          <w:rFonts w:asciiTheme="majorBidi" w:eastAsia="Times New Roman" w:hAnsiTheme="majorBidi" w:cstheme="majorBidi"/>
          <w:sz w:val="24"/>
          <w:szCs w:val="24"/>
          <w:lang w:val="en-US" w:eastAsia="fr-FR" w:bidi="he-IL"/>
        </w:rPr>
        <w:t>Aklin</w:t>
      </w:r>
      <w:proofErr w:type="spellEnd"/>
      <w:r w:rsidRPr="00D806D9">
        <w:rPr>
          <w:rFonts w:asciiTheme="majorBidi" w:eastAsia="Times New Roman" w:hAnsiTheme="majorBidi" w:cstheme="majorBidi"/>
          <w:sz w:val="24"/>
          <w:szCs w:val="24"/>
          <w:lang w:val="en-US" w:eastAsia="fr-FR" w:bidi="he-IL"/>
        </w:rPr>
        <w:t xml:space="preserve">, M. (2020). The European Union Emissions Trading System </w:t>
      </w:r>
      <w:r w:rsidR="00F10B18" w:rsidRPr="00D806D9">
        <w:rPr>
          <w:rFonts w:asciiTheme="majorBidi" w:eastAsia="Times New Roman" w:hAnsiTheme="majorBidi" w:cstheme="majorBidi"/>
          <w:sz w:val="24"/>
          <w:szCs w:val="24"/>
          <w:lang w:val="en-US" w:eastAsia="fr-FR" w:bidi="he-IL"/>
        </w:rPr>
        <w:t>R</w:t>
      </w:r>
      <w:r w:rsidRPr="00D806D9">
        <w:rPr>
          <w:rFonts w:asciiTheme="majorBidi" w:eastAsia="Times New Roman" w:hAnsiTheme="majorBidi" w:cstheme="majorBidi"/>
          <w:sz w:val="24"/>
          <w:szCs w:val="24"/>
          <w:lang w:val="en-US" w:eastAsia="fr-FR" w:bidi="he-IL"/>
        </w:rPr>
        <w:t>educed CO2 </w:t>
      </w:r>
      <w:r w:rsidR="00F10B18" w:rsidRPr="00D806D9">
        <w:rPr>
          <w:rFonts w:asciiTheme="majorBidi" w:eastAsia="Times New Roman" w:hAnsiTheme="majorBidi" w:cstheme="majorBidi"/>
          <w:sz w:val="24"/>
          <w:szCs w:val="24"/>
          <w:lang w:val="en-US" w:eastAsia="fr-FR" w:bidi="he-IL"/>
        </w:rPr>
        <w:t>E</w:t>
      </w:r>
      <w:r w:rsidRPr="00D806D9">
        <w:rPr>
          <w:rFonts w:asciiTheme="majorBidi" w:eastAsia="Times New Roman" w:hAnsiTheme="majorBidi" w:cstheme="majorBidi"/>
          <w:sz w:val="24"/>
          <w:szCs w:val="24"/>
          <w:lang w:val="en-US" w:eastAsia="fr-FR" w:bidi="he-IL"/>
        </w:rPr>
        <w:t xml:space="preserve">missions </w:t>
      </w:r>
      <w:r w:rsidR="00F10B18" w:rsidRPr="00D806D9">
        <w:rPr>
          <w:rFonts w:asciiTheme="majorBidi" w:eastAsia="Times New Roman" w:hAnsiTheme="majorBidi" w:cstheme="majorBidi"/>
          <w:sz w:val="24"/>
          <w:szCs w:val="24"/>
          <w:lang w:val="en-US" w:eastAsia="fr-FR" w:bidi="he-IL"/>
        </w:rPr>
        <w:t>D</w:t>
      </w:r>
      <w:r w:rsidRPr="00D806D9">
        <w:rPr>
          <w:rFonts w:asciiTheme="majorBidi" w:eastAsia="Times New Roman" w:hAnsiTheme="majorBidi" w:cstheme="majorBidi"/>
          <w:sz w:val="24"/>
          <w:szCs w:val="24"/>
          <w:lang w:val="en-US" w:eastAsia="fr-FR" w:bidi="he-IL"/>
        </w:rPr>
        <w:t xml:space="preserve">espite </w:t>
      </w:r>
      <w:r w:rsidR="00F10B18" w:rsidRPr="00D806D9">
        <w:rPr>
          <w:rFonts w:asciiTheme="majorBidi" w:eastAsia="Times New Roman" w:hAnsiTheme="majorBidi" w:cstheme="majorBidi"/>
          <w:sz w:val="24"/>
          <w:szCs w:val="24"/>
          <w:lang w:val="en-US" w:eastAsia="fr-FR" w:bidi="he-IL"/>
        </w:rPr>
        <w:t>L</w:t>
      </w:r>
      <w:r w:rsidRPr="00D806D9">
        <w:rPr>
          <w:rFonts w:asciiTheme="majorBidi" w:eastAsia="Times New Roman" w:hAnsiTheme="majorBidi" w:cstheme="majorBidi"/>
          <w:sz w:val="24"/>
          <w:szCs w:val="24"/>
          <w:lang w:val="en-US" w:eastAsia="fr-FR" w:bidi="he-IL"/>
        </w:rPr>
        <w:t xml:space="preserve">ow </w:t>
      </w:r>
      <w:r w:rsidR="00F10B18" w:rsidRPr="00D806D9">
        <w:rPr>
          <w:rFonts w:asciiTheme="majorBidi" w:eastAsia="Times New Roman" w:hAnsiTheme="majorBidi" w:cstheme="majorBidi"/>
          <w:sz w:val="24"/>
          <w:szCs w:val="24"/>
          <w:lang w:val="en-US" w:eastAsia="fr-FR" w:bidi="he-IL"/>
        </w:rPr>
        <w:t>P</w:t>
      </w:r>
      <w:r w:rsidRPr="00D806D9">
        <w:rPr>
          <w:rFonts w:asciiTheme="majorBidi" w:eastAsia="Times New Roman" w:hAnsiTheme="majorBidi" w:cstheme="majorBidi"/>
          <w:sz w:val="24"/>
          <w:szCs w:val="24"/>
          <w:lang w:val="en-US" w:eastAsia="fr-FR" w:bidi="he-IL"/>
        </w:rPr>
        <w:t xml:space="preserve">rices. </w:t>
      </w:r>
      <w:r w:rsidRPr="00D806D9">
        <w:rPr>
          <w:rFonts w:asciiTheme="majorBidi" w:eastAsia="Times New Roman" w:hAnsiTheme="majorBidi" w:cstheme="majorBidi"/>
          <w:i/>
          <w:iCs/>
          <w:sz w:val="24"/>
          <w:szCs w:val="24"/>
          <w:lang w:val="en-US" w:eastAsia="fr-FR" w:bidi="he-IL"/>
        </w:rPr>
        <w:t>Proceedings of the National Academy of Sciences of the United States of America</w:t>
      </w:r>
      <w:r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i/>
          <w:iCs/>
          <w:sz w:val="24"/>
          <w:szCs w:val="24"/>
          <w:lang w:val="en-US" w:eastAsia="fr-FR" w:bidi="he-IL"/>
        </w:rPr>
        <w:t>117</w:t>
      </w:r>
      <w:r w:rsidRPr="00D806D9">
        <w:rPr>
          <w:rFonts w:asciiTheme="majorBidi" w:eastAsia="Times New Roman" w:hAnsiTheme="majorBidi" w:cstheme="majorBidi"/>
          <w:sz w:val="24"/>
          <w:szCs w:val="24"/>
          <w:lang w:val="en-US" w:eastAsia="fr-FR" w:bidi="he-IL"/>
        </w:rPr>
        <w:t xml:space="preserve">(16), 8804-8812. </w:t>
      </w:r>
      <w:hyperlink r:id="rId23" w:history="1">
        <w:r w:rsidRPr="00D806D9">
          <w:rPr>
            <w:rStyle w:val="Hyperlink"/>
            <w:rFonts w:asciiTheme="majorBidi" w:eastAsia="Times New Roman" w:hAnsiTheme="majorBidi" w:cstheme="majorBidi"/>
            <w:sz w:val="24"/>
            <w:szCs w:val="24"/>
            <w:lang w:val="en-US" w:eastAsia="fr-FR" w:bidi="he-IL"/>
          </w:rPr>
          <w:t>Link</w:t>
        </w:r>
      </w:hyperlink>
    </w:p>
    <w:p w14:paraId="19D2C138" w14:textId="77777777" w:rsidR="009F0261" w:rsidRPr="00D806D9" w:rsidRDefault="009F0261" w:rsidP="00003440">
      <w:pPr>
        <w:spacing w:after="0" w:line="240" w:lineRule="auto"/>
        <w:jc w:val="both"/>
        <w:rPr>
          <w:rFonts w:asciiTheme="majorBidi" w:eastAsia="Times New Roman" w:hAnsiTheme="majorBidi" w:cstheme="majorBidi"/>
          <w:sz w:val="24"/>
          <w:szCs w:val="24"/>
          <w:lang w:val="en-US" w:eastAsia="fr-FR" w:bidi="he-IL"/>
        </w:rPr>
      </w:pPr>
    </w:p>
    <w:p w14:paraId="33E2B8F4" w14:textId="39A31672"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bookmarkStart w:id="22" w:name="_Hlk110441615"/>
      <w:r w:rsidRPr="00D806D9">
        <w:rPr>
          <w:rFonts w:asciiTheme="majorBidi" w:hAnsiTheme="majorBidi" w:cstheme="majorBidi"/>
          <w:sz w:val="24"/>
          <w:szCs w:val="24"/>
          <w:lang w:val="en-US"/>
        </w:rPr>
        <w:t xml:space="preserve">Bel, G., &amp; Joseph, S. (2015). </w:t>
      </w:r>
      <w:bookmarkEnd w:id="22"/>
      <w:r w:rsidRPr="00D806D9">
        <w:rPr>
          <w:rFonts w:asciiTheme="majorBidi" w:hAnsiTheme="majorBidi" w:cstheme="majorBidi"/>
          <w:sz w:val="24"/>
          <w:szCs w:val="24"/>
          <w:lang w:val="en-US"/>
        </w:rPr>
        <w:t xml:space="preserve">Emission Abatement: Untangling the Impacts of the EU ETS and the Economic Crisis. </w:t>
      </w:r>
      <w:r w:rsidRPr="00D806D9">
        <w:rPr>
          <w:rFonts w:asciiTheme="majorBidi" w:hAnsiTheme="majorBidi" w:cstheme="majorBidi"/>
          <w:i/>
          <w:iCs/>
          <w:sz w:val="24"/>
          <w:szCs w:val="24"/>
          <w:lang w:val="en-US"/>
        </w:rPr>
        <w:t>Energy Economics</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49</w:t>
      </w:r>
      <w:r w:rsidRPr="00D806D9">
        <w:rPr>
          <w:rFonts w:asciiTheme="majorBidi" w:hAnsiTheme="majorBidi" w:cstheme="majorBidi"/>
          <w:sz w:val="24"/>
          <w:szCs w:val="24"/>
          <w:lang w:val="en-US"/>
        </w:rPr>
        <w:t>, 531-539.</w:t>
      </w:r>
      <w:r w:rsidR="00F10B18" w:rsidRPr="00D806D9">
        <w:rPr>
          <w:rFonts w:asciiTheme="majorBidi" w:hAnsiTheme="majorBidi" w:cstheme="majorBidi"/>
          <w:sz w:val="24"/>
          <w:szCs w:val="24"/>
          <w:lang w:val="en-US"/>
        </w:rPr>
        <w:t xml:space="preserve"> </w:t>
      </w:r>
      <w:hyperlink r:id="rId24" w:history="1">
        <w:r w:rsidR="00F10B18" w:rsidRPr="00D806D9">
          <w:rPr>
            <w:rStyle w:val="Hyperlink"/>
            <w:rFonts w:asciiTheme="majorBidi" w:hAnsiTheme="majorBidi" w:cstheme="majorBidi"/>
            <w:sz w:val="24"/>
            <w:szCs w:val="24"/>
            <w:lang w:val="en-US"/>
          </w:rPr>
          <w:t>Link</w:t>
        </w:r>
      </w:hyperlink>
    </w:p>
    <w:p w14:paraId="74B425BD" w14:textId="77777777" w:rsidR="009F0261" w:rsidRPr="00D806D9" w:rsidRDefault="009F0261" w:rsidP="00003440">
      <w:pPr>
        <w:autoSpaceDE w:val="0"/>
        <w:autoSpaceDN w:val="0"/>
        <w:adjustRightInd w:val="0"/>
        <w:spacing w:after="0" w:line="240" w:lineRule="auto"/>
        <w:jc w:val="both"/>
        <w:rPr>
          <w:rFonts w:asciiTheme="majorBidi" w:hAnsiTheme="majorBidi" w:cstheme="majorBidi"/>
          <w:sz w:val="24"/>
          <w:szCs w:val="24"/>
          <w:lang w:val="en-US"/>
        </w:rPr>
      </w:pPr>
    </w:p>
    <w:p w14:paraId="35F199A7" w14:textId="534C7955" w:rsidR="00E60725" w:rsidRPr="00D806D9" w:rsidRDefault="00E60725" w:rsidP="00003440">
      <w:pPr>
        <w:pStyle w:val="FootnoteText"/>
        <w:jc w:val="both"/>
        <w:rPr>
          <w:rStyle w:val="Hyperlink"/>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Borghesi</w:t>
      </w:r>
      <w:proofErr w:type="spellEnd"/>
      <w:r w:rsidRPr="00D806D9">
        <w:rPr>
          <w:rFonts w:asciiTheme="majorBidi" w:hAnsiTheme="majorBidi" w:cstheme="majorBidi"/>
          <w:sz w:val="24"/>
          <w:szCs w:val="24"/>
          <w:lang w:val="en-US"/>
        </w:rPr>
        <w:t xml:space="preserve">, S., &amp; </w:t>
      </w:r>
      <w:proofErr w:type="spellStart"/>
      <w:r w:rsidRPr="00D806D9">
        <w:rPr>
          <w:rFonts w:asciiTheme="majorBidi" w:hAnsiTheme="majorBidi" w:cstheme="majorBidi"/>
          <w:sz w:val="24"/>
          <w:szCs w:val="24"/>
          <w:lang w:val="en-US"/>
        </w:rPr>
        <w:t>Montini</w:t>
      </w:r>
      <w:proofErr w:type="spellEnd"/>
      <w:r w:rsidRPr="00D806D9">
        <w:rPr>
          <w:rFonts w:asciiTheme="majorBidi" w:hAnsiTheme="majorBidi" w:cstheme="majorBidi"/>
          <w:sz w:val="24"/>
          <w:szCs w:val="24"/>
          <w:lang w:val="en-US"/>
        </w:rPr>
        <w:t>, M. (2016)</w:t>
      </w:r>
      <w:r w:rsidR="006E353E"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The Best (and Worst) of GHG Emission Trading Systems: Comparing the EU ETS with Its Followers. </w:t>
      </w:r>
      <w:r w:rsidRPr="00D806D9">
        <w:rPr>
          <w:rFonts w:asciiTheme="majorBidi" w:hAnsiTheme="majorBidi" w:cstheme="majorBidi"/>
          <w:i/>
          <w:iCs/>
          <w:sz w:val="24"/>
          <w:szCs w:val="24"/>
          <w:lang w:val="en-US"/>
        </w:rPr>
        <w:t>Frontiers in Energy Research</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4</w:t>
      </w:r>
      <w:r w:rsidRPr="00D806D9">
        <w:rPr>
          <w:rFonts w:asciiTheme="majorBidi" w:hAnsiTheme="majorBidi" w:cstheme="majorBidi"/>
          <w:sz w:val="24"/>
          <w:szCs w:val="24"/>
          <w:lang w:val="en-US"/>
        </w:rPr>
        <w:t xml:space="preserve">(27). </w:t>
      </w:r>
      <w:hyperlink r:id="rId25" w:history="1">
        <w:r w:rsidRPr="00D806D9">
          <w:rPr>
            <w:rStyle w:val="Hyperlink"/>
            <w:rFonts w:asciiTheme="majorBidi" w:hAnsiTheme="majorBidi" w:cstheme="majorBidi"/>
            <w:sz w:val="24"/>
            <w:szCs w:val="24"/>
            <w:lang w:val="en-US"/>
          </w:rPr>
          <w:t>Link</w:t>
        </w:r>
      </w:hyperlink>
    </w:p>
    <w:p w14:paraId="797363B7" w14:textId="77777777" w:rsidR="009F0261" w:rsidRPr="00D806D9" w:rsidRDefault="009F0261" w:rsidP="00003440">
      <w:pPr>
        <w:pStyle w:val="FootnoteText"/>
        <w:jc w:val="both"/>
        <w:rPr>
          <w:rFonts w:asciiTheme="majorBidi" w:hAnsiTheme="majorBidi" w:cstheme="majorBidi"/>
          <w:sz w:val="24"/>
          <w:szCs w:val="24"/>
          <w:lang w:val="en-US"/>
        </w:rPr>
      </w:pPr>
    </w:p>
    <w:p w14:paraId="10A074E9" w14:textId="3863022E"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Calel</w:t>
      </w:r>
      <w:proofErr w:type="spellEnd"/>
      <w:r w:rsidRPr="00D806D9">
        <w:rPr>
          <w:rFonts w:asciiTheme="majorBidi" w:hAnsiTheme="majorBidi" w:cstheme="majorBidi"/>
          <w:sz w:val="24"/>
          <w:szCs w:val="24"/>
          <w:lang w:val="en-US"/>
        </w:rPr>
        <w:t xml:space="preserve">, R. (2018). Adopt or Innovate: Understanding Technological Responses to Cap-and-Trade. </w:t>
      </w:r>
      <w:proofErr w:type="spellStart"/>
      <w:r w:rsidRPr="00D806D9">
        <w:rPr>
          <w:rFonts w:asciiTheme="majorBidi" w:hAnsiTheme="majorBidi" w:cstheme="majorBidi"/>
          <w:sz w:val="24"/>
          <w:szCs w:val="24"/>
          <w:lang w:val="en-US"/>
        </w:rPr>
        <w:t>CESifo</w:t>
      </w:r>
      <w:proofErr w:type="spellEnd"/>
      <w:r w:rsidRPr="00D806D9">
        <w:rPr>
          <w:rFonts w:asciiTheme="majorBidi" w:hAnsiTheme="majorBidi" w:cstheme="majorBidi"/>
          <w:sz w:val="24"/>
          <w:szCs w:val="24"/>
          <w:lang w:val="en-US"/>
        </w:rPr>
        <w:t xml:space="preserve"> Working Paper 6847.</w:t>
      </w:r>
      <w:r w:rsidR="00C73519" w:rsidRPr="00D806D9">
        <w:rPr>
          <w:rFonts w:asciiTheme="majorBidi" w:hAnsiTheme="majorBidi" w:cstheme="majorBidi"/>
          <w:sz w:val="24"/>
          <w:szCs w:val="24"/>
          <w:lang w:val="en-US"/>
        </w:rPr>
        <w:t xml:space="preserve"> </w:t>
      </w:r>
      <w:hyperlink r:id="rId26" w:history="1">
        <w:r w:rsidR="00C73519" w:rsidRPr="00D806D9">
          <w:rPr>
            <w:rStyle w:val="Hyperlink"/>
            <w:rFonts w:asciiTheme="majorBidi" w:hAnsiTheme="majorBidi" w:cstheme="majorBidi"/>
            <w:sz w:val="24"/>
            <w:szCs w:val="24"/>
            <w:lang w:val="en-US"/>
          </w:rPr>
          <w:t>Link</w:t>
        </w:r>
      </w:hyperlink>
    </w:p>
    <w:p w14:paraId="5FBF3737" w14:textId="77777777" w:rsidR="009F0261" w:rsidRPr="00D806D9" w:rsidRDefault="009F0261" w:rsidP="00003440">
      <w:pPr>
        <w:autoSpaceDE w:val="0"/>
        <w:autoSpaceDN w:val="0"/>
        <w:adjustRightInd w:val="0"/>
        <w:spacing w:after="0" w:line="240" w:lineRule="auto"/>
        <w:jc w:val="both"/>
        <w:rPr>
          <w:rFonts w:asciiTheme="majorBidi" w:hAnsiTheme="majorBidi" w:cstheme="majorBidi"/>
          <w:sz w:val="24"/>
          <w:szCs w:val="24"/>
          <w:lang w:val="en-US"/>
        </w:rPr>
      </w:pPr>
    </w:p>
    <w:p w14:paraId="76B1CEEE" w14:textId="449E3EF1" w:rsidR="00E60725" w:rsidRPr="00D806D9" w:rsidRDefault="00E60725" w:rsidP="00003440">
      <w:pPr>
        <w:shd w:val="clear" w:color="auto" w:fill="FFFFFF"/>
        <w:spacing w:after="0" w:line="240" w:lineRule="auto"/>
        <w:jc w:val="both"/>
        <w:textAlignment w:val="baseline"/>
        <w:rPr>
          <w:rFonts w:asciiTheme="majorBidi" w:hAnsiTheme="majorBidi" w:cstheme="majorBidi"/>
          <w:sz w:val="24"/>
          <w:szCs w:val="24"/>
          <w:lang w:val="en-US"/>
        </w:rPr>
      </w:pPr>
      <w:r w:rsidRPr="00D806D9">
        <w:rPr>
          <w:rFonts w:asciiTheme="majorBidi" w:hAnsiTheme="majorBidi" w:cstheme="majorBidi"/>
          <w:sz w:val="24"/>
          <w:szCs w:val="24"/>
          <w:lang w:val="en-US"/>
        </w:rPr>
        <w:t xml:space="preserve">Carpenter, D., &amp; Moss, D. A. (2013). </w:t>
      </w:r>
      <w:r w:rsidRPr="00D806D9">
        <w:rPr>
          <w:rFonts w:asciiTheme="majorBidi" w:hAnsiTheme="majorBidi" w:cstheme="majorBidi"/>
          <w:i/>
          <w:iCs/>
          <w:sz w:val="24"/>
          <w:szCs w:val="24"/>
          <w:lang w:val="en-US"/>
        </w:rPr>
        <w:t>Preventing Regulatory Capture, Special Interest Influence and How to Limit It</w:t>
      </w:r>
      <w:r w:rsidRPr="00D806D9">
        <w:rPr>
          <w:rFonts w:asciiTheme="majorBidi" w:hAnsiTheme="majorBidi" w:cstheme="majorBidi"/>
          <w:sz w:val="24"/>
          <w:szCs w:val="24"/>
          <w:lang w:val="en-US"/>
        </w:rPr>
        <w:t>. Cambridge University Press.</w:t>
      </w:r>
      <w:r w:rsidR="006E353E" w:rsidRPr="00D806D9">
        <w:rPr>
          <w:rFonts w:asciiTheme="majorBidi" w:hAnsiTheme="majorBidi" w:cstheme="majorBidi"/>
          <w:sz w:val="24"/>
          <w:szCs w:val="24"/>
          <w:lang w:val="en-US"/>
        </w:rPr>
        <w:t xml:space="preserve"> </w:t>
      </w:r>
    </w:p>
    <w:p w14:paraId="7A86B62C" w14:textId="77777777" w:rsidR="006E353E" w:rsidRPr="00D806D9" w:rsidRDefault="006E353E" w:rsidP="00003440">
      <w:pPr>
        <w:shd w:val="clear" w:color="auto" w:fill="FFFFFF"/>
        <w:spacing w:after="0" w:line="240" w:lineRule="auto"/>
        <w:jc w:val="both"/>
        <w:textAlignment w:val="baseline"/>
        <w:rPr>
          <w:rFonts w:asciiTheme="majorBidi" w:hAnsiTheme="majorBidi" w:cstheme="majorBidi"/>
          <w:sz w:val="24"/>
          <w:szCs w:val="24"/>
          <w:lang w:val="en-US"/>
        </w:rPr>
      </w:pPr>
    </w:p>
    <w:p w14:paraId="1E5C7AD2" w14:textId="296C7844" w:rsidR="00E60725" w:rsidRPr="00D806D9" w:rsidRDefault="00E60725" w:rsidP="00003440">
      <w:pPr>
        <w:pStyle w:val="Default"/>
        <w:jc w:val="both"/>
        <w:rPr>
          <w:rStyle w:val="Hyperlink"/>
          <w:rFonts w:asciiTheme="majorBidi" w:hAnsiTheme="majorBidi" w:cstheme="majorBidi"/>
          <w:lang w:val="en-US" w:bidi="ar-SA"/>
        </w:rPr>
      </w:pPr>
      <w:r w:rsidRPr="00D806D9">
        <w:rPr>
          <w:rFonts w:asciiTheme="majorBidi" w:hAnsiTheme="majorBidi" w:cstheme="majorBidi"/>
          <w:color w:val="auto"/>
          <w:lang w:val="en-US" w:bidi="ar-SA"/>
        </w:rPr>
        <w:t xml:space="preserve">CFMP. (2020). </w:t>
      </w:r>
      <w:r w:rsidRPr="00D806D9">
        <w:rPr>
          <w:rFonts w:asciiTheme="majorBidi" w:hAnsiTheme="majorBidi" w:cstheme="majorBidi"/>
          <w:i/>
          <w:iCs/>
          <w:color w:val="auto"/>
          <w:lang w:val="en-US" w:bidi="ar-SA"/>
        </w:rPr>
        <w:t>Carbon Contracts for Differences: Their Role in European Industrial Decarbonization</w:t>
      </w:r>
      <w:r w:rsidRPr="00D806D9">
        <w:rPr>
          <w:rFonts w:asciiTheme="majorBidi" w:hAnsiTheme="majorBidi" w:cstheme="majorBidi"/>
          <w:color w:val="auto"/>
          <w:lang w:val="en-US" w:bidi="ar-SA"/>
        </w:rPr>
        <w:t xml:space="preserve">. </w:t>
      </w:r>
      <w:hyperlink r:id="rId27" w:history="1">
        <w:r w:rsidRPr="00D806D9">
          <w:rPr>
            <w:rStyle w:val="Hyperlink"/>
            <w:rFonts w:asciiTheme="majorBidi" w:hAnsiTheme="majorBidi" w:cstheme="majorBidi"/>
            <w:lang w:val="en-US" w:bidi="ar-SA"/>
          </w:rPr>
          <w:t>Link</w:t>
        </w:r>
      </w:hyperlink>
    </w:p>
    <w:p w14:paraId="414E98F4" w14:textId="77777777" w:rsidR="00B17808" w:rsidRPr="00D806D9" w:rsidRDefault="00B17808" w:rsidP="00003440">
      <w:pPr>
        <w:pStyle w:val="Default"/>
        <w:jc w:val="both"/>
        <w:rPr>
          <w:rFonts w:asciiTheme="majorBidi" w:hAnsiTheme="majorBidi" w:cstheme="majorBidi"/>
          <w:color w:val="auto"/>
          <w:lang w:val="en-US" w:bidi="ar-SA"/>
        </w:rPr>
      </w:pPr>
    </w:p>
    <w:p w14:paraId="5CE09597" w14:textId="5B87FD24"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roofErr w:type="spellStart"/>
      <w:r w:rsidRPr="00D806D9">
        <w:rPr>
          <w:rFonts w:asciiTheme="majorBidi" w:eastAsia="Times New Roman" w:hAnsiTheme="majorBidi" w:cstheme="majorBidi"/>
          <w:color w:val="000000"/>
          <w:sz w:val="24"/>
          <w:szCs w:val="24"/>
          <w:lang w:val="en-US" w:eastAsia="fr-FR" w:bidi="he-IL"/>
        </w:rPr>
        <w:t>Chiappinelli</w:t>
      </w:r>
      <w:proofErr w:type="spellEnd"/>
      <w:r w:rsidRPr="00D806D9">
        <w:rPr>
          <w:rFonts w:asciiTheme="majorBidi" w:eastAsia="Times New Roman" w:hAnsiTheme="majorBidi" w:cstheme="majorBidi"/>
          <w:color w:val="000000"/>
          <w:sz w:val="24"/>
          <w:szCs w:val="24"/>
          <w:lang w:val="en-US" w:eastAsia="fr-FR" w:bidi="he-IL"/>
        </w:rPr>
        <w:t xml:space="preserve">, O., &amp; Neuhoff, K. (2020). </w:t>
      </w:r>
      <w:r w:rsidRPr="00D806D9">
        <w:rPr>
          <w:rFonts w:asciiTheme="majorBidi" w:eastAsia="Times New Roman" w:hAnsiTheme="majorBidi" w:cstheme="majorBidi"/>
          <w:i/>
          <w:iCs/>
          <w:color w:val="000000"/>
          <w:sz w:val="24"/>
          <w:szCs w:val="24"/>
          <w:lang w:val="en-US" w:eastAsia="fr-FR" w:bidi="he-IL"/>
        </w:rPr>
        <w:t>Time-Consistent Carbon Pricing: The Role of Carbon Contracts for Differences</w:t>
      </w:r>
      <w:r w:rsidRPr="00D806D9">
        <w:rPr>
          <w:rFonts w:asciiTheme="majorBidi" w:eastAsia="Times New Roman" w:hAnsiTheme="majorBidi" w:cstheme="majorBidi"/>
          <w:color w:val="000000"/>
          <w:sz w:val="24"/>
          <w:szCs w:val="24"/>
          <w:lang w:val="en-US" w:eastAsia="fr-FR" w:bidi="he-IL"/>
        </w:rPr>
        <w:t>. DIW Discussion Papers Nº 1859.</w:t>
      </w:r>
      <w:r w:rsidR="00B17808" w:rsidRPr="00D806D9">
        <w:rPr>
          <w:rFonts w:asciiTheme="majorBidi" w:eastAsia="Times New Roman" w:hAnsiTheme="majorBidi" w:cstheme="majorBidi"/>
          <w:color w:val="000000"/>
          <w:sz w:val="24"/>
          <w:szCs w:val="24"/>
          <w:lang w:val="en-US" w:eastAsia="fr-FR" w:bidi="he-IL"/>
        </w:rPr>
        <w:t xml:space="preserve"> </w:t>
      </w:r>
      <w:hyperlink r:id="rId28" w:history="1">
        <w:r w:rsidR="00B17808" w:rsidRPr="00D806D9">
          <w:rPr>
            <w:rStyle w:val="Hyperlink"/>
            <w:rFonts w:asciiTheme="majorBidi" w:eastAsia="Times New Roman" w:hAnsiTheme="majorBidi" w:cstheme="majorBidi"/>
            <w:sz w:val="24"/>
            <w:szCs w:val="24"/>
            <w:lang w:val="en-US" w:eastAsia="fr-FR" w:bidi="he-IL"/>
          </w:rPr>
          <w:t>Link</w:t>
        </w:r>
      </w:hyperlink>
    </w:p>
    <w:p w14:paraId="0412D902" w14:textId="77777777" w:rsidR="00B17808" w:rsidRPr="00D806D9" w:rsidRDefault="00B17808"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
    <w:p w14:paraId="23A488FF" w14:textId="379867B4"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Cludius</w:t>
      </w:r>
      <w:proofErr w:type="spellEnd"/>
      <w:r w:rsidRPr="00D806D9">
        <w:rPr>
          <w:rFonts w:asciiTheme="majorBidi" w:hAnsiTheme="majorBidi" w:cstheme="majorBidi"/>
          <w:sz w:val="24"/>
          <w:szCs w:val="24"/>
          <w:lang w:val="en-US"/>
        </w:rPr>
        <w:t xml:space="preserve">, J. (2018). Winners and </w:t>
      </w:r>
      <w:r w:rsidR="00B17808" w:rsidRPr="00D806D9">
        <w:rPr>
          <w:rFonts w:asciiTheme="majorBidi" w:hAnsiTheme="majorBidi" w:cstheme="majorBidi"/>
          <w:sz w:val="24"/>
          <w:szCs w:val="24"/>
          <w:lang w:val="en-US"/>
        </w:rPr>
        <w:t>L</w:t>
      </w:r>
      <w:r w:rsidRPr="00D806D9">
        <w:rPr>
          <w:rFonts w:asciiTheme="majorBidi" w:hAnsiTheme="majorBidi" w:cstheme="majorBidi"/>
          <w:sz w:val="24"/>
          <w:szCs w:val="24"/>
          <w:lang w:val="en-US"/>
        </w:rPr>
        <w:t xml:space="preserve">osers of EU </w:t>
      </w:r>
      <w:r w:rsidR="00B17808"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missions </w:t>
      </w:r>
      <w:r w:rsidR="00B17808"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rading: Insights </w:t>
      </w:r>
      <w:r w:rsidR="008C0AB3" w:rsidRPr="00D806D9">
        <w:rPr>
          <w:rFonts w:asciiTheme="majorBidi" w:hAnsiTheme="majorBidi" w:cstheme="majorBidi"/>
          <w:sz w:val="24"/>
          <w:szCs w:val="24"/>
          <w:lang w:val="en-US"/>
        </w:rPr>
        <w:t>F</w:t>
      </w:r>
      <w:r w:rsidRPr="00D806D9">
        <w:rPr>
          <w:rFonts w:asciiTheme="majorBidi" w:hAnsiTheme="majorBidi" w:cstheme="majorBidi"/>
          <w:sz w:val="24"/>
          <w:szCs w:val="24"/>
          <w:lang w:val="en-US"/>
        </w:rPr>
        <w:t xml:space="preserve">rom the </w:t>
      </w:r>
      <w:r w:rsidR="00B17808" w:rsidRPr="00D806D9">
        <w:rPr>
          <w:rFonts w:asciiTheme="majorBidi" w:hAnsiTheme="majorBidi" w:cstheme="majorBidi"/>
          <w:sz w:val="24"/>
          <w:szCs w:val="24"/>
          <w:lang w:val="en-US"/>
        </w:rPr>
        <w:t>EUTL</w:t>
      </w:r>
      <w:r w:rsidRPr="00D806D9">
        <w:rPr>
          <w:rFonts w:asciiTheme="majorBidi" w:hAnsiTheme="majorBidi" w:cstheme="majorBidi"/>
          <w:sz w:val="24"/>
          <w:szCs w:val="24"/>
          <w:lang w:val="en-US"/>
        </w:rPr>
        <w:t xml:space="preserve"> </w:t>
      </w:r>
      <w:r w:rsidR="00B17808"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ransfer </w:t>
      </w:r>
      <w:r w:rsidR="00B17808" w:rsidRPr="00D806D9">
        <w:rPr>
          <w:rFonts w:asciiTheme="majorBidi" w:hAnsiTheme="majorBidi" w:cstheme="majorBidi"/>
          <w:sz w:val="24"/>
          <w:szCs w:val="24"/>
          <w:lang w:val="en-US"/>
        </w:rPr>
        <w:t>D</w:t>
      </w:r>
      <w:r w:rsidRPr="00D806D9">
        <w:rPr>
          <w:rFonts w:asciiTheme="majorBidi" w:hAnsiTheme="majorBidi" w:cstheme="majorBidi"/>
          <w:sz w:val="24"/>
          <w:szCs w:val="24"/>
          <w:lang w:val="en-US"/>
        </w:rPr>
        <w:t>ataset. </w:t>
      </w:r>
      <w:r w:rsidRPr="00D806D9">
        <w:rPr>
          <w:rFonts w:asciiTheme="majorBidi" w:hAnsiTheme="majorBidi" w:cstheme="majorBidi"/>
          <w:i/>
          <w:iCs/>
          <w:sz w:val="24"/>
          <w:szCs w:val="24"/>
          <w:lang w:val="en-US"/>
        </w:rPr>
        <w:t>Economics of Energy</w:t>
      </w:r>
      <w:r w:rsidR="008C0AB3" w:rsidRPr="00D806D9">
        <w:rPr>
          <w:rFonts w:asciiTheme="majorBidi" w:hAnsiTheme="majorBidi" w:cstheme="majorBidi"/>
          <w:i/>
          <w:iCs/>
          <w:sz w:val="24"/>
          <w:szCs w:val="24"/>
          <w:lang w:val="en-US"/>
        </w:rPr>
        <w:t xml:space="preserve"> and</w:t>
      </w:r>
      <w:r w:rsidRPr="00D806D9">
        <w:rPr>
          <w:rFonts w:asciiTheme="majorBidi" w:hAnsiTheme="majorBidi" w:cstheme="majorBidi"/>
          <w:i/>
          <w:iCs/>
          <w:sz w:val="24"/>
          <w:szCs w:val="24"/>
          <w:lang w:val="en-US"/>
        </w:rPr>
        <w:t xml:space="preserve"> Environmental Policy</w:t>
      </w:r>
      <w:r w:rsidRPr="00D806D9">
        <w:rPr>
          <w:rFonts w:asciiTheme="majorBidi" w:hAnsiTheme="majorBidi" w:cstheme="majorBidi"/>
          <w:sz w:val="24"/>
          <w:szCs w:val="24"/>
          <w:lang w:val="en-US"/>
        </w:rPr>
        <w:t>, </w:t>
      </w:r>
      <w:r w:rsidRPr="00D806D9">
        <w:rPr>
          <w:rFonts w:asciiTheme="majorBidi" w:hAnsiTheme="majorBidi" w:cstheme="majorBidi"/>
          <w:i/>
          <w:iCs/>
          <w:sz w:val="24"/>
          <w:szCs w:val="24"/>
          <w:lang w:val="en-US"/>
        </w:rPr>
        <w:t>7</w:t>
      </w:r>
      <w:r w:rsidRPr="00D806D9">
        <w:rPr>
          <w:rFonts w:asciiTheme="majorBidi" w:hAnsiTheme="majorBidi" w:cstheme="majorBidi"/>
          <w:sz w:val="24"/>
          <w:szCs w:val="24"/>
          <w:lang w:val="en-US"/>
        </w:rPr>
        <w:t>(2), 93</w:t>
      </w:r>
      <w:r w:rsidR="008C0AB3"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110.</w:t>
      </w:r>
      <w:r w:rsidR="00B17808" w:rsidRPr="00D806D9">
        <w:rPr>
          <w:rFonts w:asciiTheme="majorBidi" w:hAnsiTheme="majorBidi" w:cstheme="majorBidi"/>
          <w:sz w:val="24"/>
          <w:szCs w:val="24"/>
          <w:lang w:val="en-US"/>
        </w:rPr>
        <w:t xml:space="preserve"> </w:t>
      </w:r>
      <w:hyperlink r:id="rId29" w:history="1">
        <w:r w:rsidR="00B17808" w:rsidRPr="00D806D9">
          <w:rPr>
            <w:rStyle w:val="Hyperlink"/>
            <w:rFonts w:asciiTheme="majorBidi" w:hAnsiTheme="majorBidi" w:cstheme="majorBidi"/>
            <w:sz w:val="24"/>
            <w:szCs w:val="24"/>
            <w:lang w:val="en-US"/>
          </w:rPr>
          <w:t>Link</w:t>
        </w:r>
      </w:hyperlink>
    </w:p>
    <w:p w14:paraId="6BB9BBD6" w14:textId="77777777" w:rsidR="00B17808" w:rsidRPr="00D806D9" w:rsidRDefault="00B17808" w:rsidP="00003440">
      <w:pPr>
        <w:autoSpaceDE w:val="0"/>
        <w:autoSpaceDN w:val="0"/>
        <w:adjustRightInd w:val="0"/>
        <w:spacing w:after="0" w:line="240" w:lineRule="auto"/>
        <w:jc w:val="both"/>
        <w:rPr>
          <w:rFonts w:asciiTheme="majorBidi" w:hAnsiTheme="majorBidi" w:cstheme="majorBidi"/>
          <w:sz w:val="24"/>
          <w:szCs w:val="24"/>
          <w:lang w:val="en-US"/>
        </w:rPr>
      </w:pPr>
    </w:p>
    <w:p w14:paraId="7A2870E8" w14:textId="0268AC8B" w:rsidR="00E60725" w:rsidRPr="00D806D9" w:rsidRDefault="00E60725"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lastRenderedPageBreak/>
        <w:t xml:space="preserve">Coase, R. H. (1960). The problem of </w:t>
      </w:r>
      <w:r w:rsidR="00AB7438" w:rsidRPr="00D806D9">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ocial </w:t>
      </w:r>
      <w:r w:rsidR="00AB7438"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ost. In </w:t>
      </w:r>
      <w:r w:rsidRPr="00D806D9">
        <w:rPr>
          <w:rFonts w:asciiTheme="majorBidi" w:hAnsiTheme="majorBidi" w:cstheme="majorBidi"/>
          <w:i/>
          <w:iCs/>
          <w:sz w:val="24"/>
          <w:szCs w:val="24"/>
          <w:lang w:val="en-US"/>
        </w:rPr>
        <w:t>Classic papers in natural resource economics</w:t>
      </w:r>
      <w:r w:rsidRPr="00D806D9">
        <w:rPr>
          <w:rFonts w:asciiTheme="majorBidi" w:hAnsiTheme="majorBidi" w:cstheme="majorBidi"/>
          <w:sz w:val="24"/>
          <w:szCs w:val="24"/>
          <w:lang w:val="en-US"/>
        </w:rPr>
        <w:t>, Palgrave Macmillan London, 87-137.</w:t>
      </w:r>
    </w:p>
    <w:p w14:paraId="757CDA0A" w14:textId="77777777" w:rsidR="00AB7438" w:rsidRPr="00D806D9" w:rsidRDefault="00AB7438" w:rsidP="00003440">
      <w:pPr>
        <w:pStyle w:val="FootnoteText"/>
        <w:jc w:val="both"/>
        <w:rPr>
          <w:rFonts w:asciiTheme="majorBidi" w:hAnsiTheme="majorBidi" w:cstheme="majorBidi"/>
          <w:sz w:val="24"/>
          <w:szCs w:val="24"/>
          <w:lang w:val="en-US"/>
        </w:rPr>
      </w:pPr>
    </w:p>
    <w:p w14:paraId="7C805F0D" w14:textId="66902C8F" w:rsidR="00E60725" w:rsidRPr="00D806D9"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Convery, F. (2009). Origins and Development of the EU ETS. </w:t>
      </w:r>
      <w:r w:rsidRPr="00D806D9">
        <w:rPr>
          <w:rFonts w:asciiTheme="majorBidi" w:eastAsia="Times New Roman" w:hAnsiTheme="majorBidi" w:cstheme="majorBidi"/>
          <w:i/>
          <w:iCs/>
          <w:color w:val="000000"/>
          <w:sz w:val="24"/>
          <w:szCs w:val="24"/>
          <w:lang w:val="en-US" w:eastAsia="fr-FR" w:bidi="he-IL"/>
        </w:rPr>
        <w:t xml:space="preserve">Environmental </w:t>
      </w:r>
      <w:r w:rsidR="00AB7438" w:rsidRPr="00D806D9">
        <w:rPr>
          <w:rFonts w:asciiTheme="majorBidi" w:eastAsia="Times New Roman" w:hAnsiTheme="majorBidi" w:cstheme="majorBidi"/>
          <w:i/>
          <w:iCs/>
          <w:color w:val="000000"/>
          <w:sz w:val="24"/>
          <w:szCs w:val="24"/>
          <w:lang w:val="en-US" w:eastAsia="fr-FR" w:bidi="he-IL"/>
        </w:rPr>
        <w:t>and</w:t>
      </w:r>
      <w:r w:rsidRPr="00D806D9">
        <w:rPr>
          <w:rFonts w:asciiTheme="majorBidi" w:eastAsia="Times New Roman" w:hAnsiTheme="majorBidi" w:cstheme="majorBidi"/>
          <w:i/>
          <w:iCs/>
          <w:color w:val="000000"/>
          <w:sz w:val="24"/>
          <w:szCs w:val="24"/>
          <w:lang w:val="en-US" w:eastAsia="fr-FR" w:bidi="he-IL"/>
        </w:rPr>
        <w:t xml:space="preserve"> Resource Economics</w:t>
      </w:r>
      <w:r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i/>
          <w:iCs/>
          <w:color w:val="000000"/>
          <w:sz w:val="24"/>
          <w:szCs w:val="24"/>
          <w:lang w:val="en-US" w:eastAsia="fr-FR" w:bidi="he-IL"/>
        </w:rPr>
        <w:t>43</w:t>
      </w:r>
      <w:r w:rsidRPr="00D806D9">
        <w:rPr>
          <w:rFonts w:asciiTheme="majorBidi" w:eastAsia="Times New Roman" w:hAnsiTheme="majorBidi" w:cstheme="majorBidi"/>
          <w:color w:val="000000"/>
          <w:sz w:val="24"/>
          <w:szCs w:val="24"/>
          <w:lang w:val="en-US" w:eastAsia="fr-FR" w:bidi="he-IL"/>
        </w:rPr>
        <w:t xml:space="preserve">, 391-412. </w:t>
      </w:r>
      <w:hyperlink r:id="rId30" w:history="1">
        <w:r w:rsidRPr="00D806D9">
          <w:rPr>
            <w:rStyle w:val="Hyperlink"/>
            <w:rFonts w:asciiTheme="majorBidi" w:eastAsia="Times New Roman" w:hAnsiTheme="majorBidi" w:cstheme="majorBidi"/>
            <w:sz w:val="24"/>
            <w:szCs w:val="24"/>
            <w:lang w:val="en-US" w:eastAsia="fr-FR" w:bidi="he-IL"/>
          </w:rPr>
          <w:t>Link</w:t>
        </w:r>
      </w:hyperlink>
    </w:p>
    <w:p w14:paraId="25C8ED26" w14:textId="77777777" w:rsidR="00AB7438" w:rsidRPr="00D806D9" w:rsidRDefault="00AB7438"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
    <w:p w14:paraId="63CB6FC7" w14:textId="113C4259"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Crocker, T. D. (196</w:t>
      </w:r>
      <w:r w:rsidR="00A8157A" w:rsidRPr="00D806D9">
        <w:rPr>
          <w:rFonts w:asciiTheme="majorBidi" w:eastAsia="Times New Roman" w:hAnsiTheme="majorBidi" w:cstheme="majorBidi"/>
          <w:sz w:val="24"/>
          <w:szCs w:val="24"/>
          <w:lang w:val="en-US" w:eastAsia="fr-FR" w:bidi="he-IL"/>
        </w:rPr>
        <w:t>8</w:t>
      </w:r>
      <w:r w:rsidRPr="00D806D9">
        <w:rPr>
          <w:rFonts w:asciiTheme="majorBidi" w:eastAsia="Times New Roman" w:hAnsiTheme="majorBidi" w:cstheme="majorBidi"/>
          <w:sz w:val="24"/>
          <w:szCs w:val="24"/>
          <w:lang w:val="en-US" w:eastAsia="fr-FR" w:bidi="he-IL"/>
        </w:rPr>
        <w:t xml:space="preserve">). </w:t>
      </w:r>
      <w:r w:rsidR="00A8157A" w:rsidRPr="00D806D9">
        <w:rPr>
          <w:rFonts w:asciiTheme="majorBidi" w:eastAsia="Times New Roman" w:hAnsiTheme="majorBidi" w:cstheme="majorBidi"/>
          <w:sz w:val="24"/>
          <w:szCs w:val="24"/>
          <w:lang w:val="en-US" w:eastAsia="fr-FR" w:bidi="he-IL"/>
        </w:rPr>
        <w:t xml:space="preserve">Some Economics of Air Pollution Control. </w:t>
      </w:r>
      <w:r w:rsidR="00A8157A" w:rsidRPr="00D806D9">
        <w:rPr>
          <w:rFonts w:asciiTheme="majorBidi" w:eastAsia="Times New Roman" w:hAnsiTheme="majorBidi" w:cstheme="majorBidi"/>
          <w:i/>
          <w:iCs/>
          <w:sz w:val="24"/>
          <w:szCs w:val="24"/>
          <w:lang w:val="en-US" w:eastAsia="fr-FR" w:bidi="he-IL"/>
        </w:rPr>
        <w:t>Natural Resources Journal</w:t>
      </w:r>
      <w:r w:rsidR="00A8157A" w:rsidRPr="00D806D9">
        <w:rPr>
          <w:rFonts w:asciiTheme="majorBidi" w:eastAsia="Times New Roman" w:hAnsiTheme="majorBidi" w:cstheme="majorBidi"/>
          <w:sz w:val="24"/>
          <w:szCs w:val="24"/>
          <w:lang w:val="en-US" w:eastAsia="fr-FR" w:bidi="he-IL"/>
        </w:rPr>
        <w:t xml:space="preserve">, </w:t>
      </w:r>
      <w:r w:rsidR="00A8157A" w:rsidRPr="00D806D9">
        <w:rPr>
          <w:rFonts w:asciiTheme="majorBidi" w:eastAsia="Times New Roman" w:hAnsiTheme="majorBidi" w:cstheme="majorBidi"/>
          <w:i/>
          <w:iCs/>
          <w:sz w:val="24"/>
          <w:szCs w:val="24"/>
          <w:lang w:val="en-US" w:eastAsia="fr-FR" w:bidi="he-IL"/>
        </w:rPr>
        <w:t>8</w:t>
      </w:r>
      <w:r w:rsidR="00A8157A" w:rsidRPr="00D806D9">
        <w:rPr>
          <w:rFonts w:asciiTheme="majorBidi" w:eastAsia="Times New Roman" w:hAnsiTheme="majorBidi" w:cstheme="majorBidi"/>
          <w:sz w:val="24"/>
          <w:szCs w:val="24"/>
          <w:lang w:val="en-US" w:eastAsia="fr-FR" w:bidi="he-IL"/>
        </w:rPr>
        <w:t xml:space="preserve">(2), 236-258. </w:t>
      </w:r>
      <w:hyperlink r:id="rId31" w:history="1">
        <w:r w:rsidR="00A8157A" w:rsidRPr="00D806D9">
          <w:rPr>
            <w:rStyle w:val="Hyperlink"/>
            <w:rFonts w:asciiTheme="majorBidi" w:eastAsia="Times New Roman" w:hAnsiTheme="majorBidi" w:cstheme="majorBidi"/>
            <w:sz w:val="24"/>
            <w:szCs w:val="24"/>
            <w:lang w:val="en-US" w:eastAsia="fr-FR" w:bidi="he-IL"/>
          </w:rPr>
          <w:t>Link</w:t>
        </w:r>
      </w:hyperlink>
    </w:p>
    <w:p w14:paraId="024B4B4B" w14:textId="77777777" w:rsidR="00AB7438" w:rsidRPr="00D806D9" w:rsidRDefault="00AB7438"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0E8C2174" w14:textId="7320BCE1" w:rsidR="00E60725" w:rsidRPr="00D806D9"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Dai, X., Xiao, L., Wang, Q., &amp; </w:t>
      </w:r>
      <w:proofErr w:type="spellStart"/>
      <w:r w:rsidRPr="00D806D9">
        <w:rPr>
          <w:rFonts w:asciiTheme="majorBidi" w:eastAsia="Times New Roman" w:hAnsiTheme="majorBidi" w:cstheme="majorBidi"/>
          <w:sz w:val="24"/>
          <w:szCs w:val="24"/>
          <w:lang w:val="en-US" w:eastAsia="fr-FR" w:bidi="he-IL"/>
        </w:rPr>
        <w:t>Dhesic</w:t>
      </w:r>
      <w:proofErr w:type="spellEnd"/>
      <w:r w:rsidRPr="00D806D9">
        <w:rPr>
          <w:rFonts w:asciiTheme="majorBidi" w:eastAsia="Times New Roman" w:hAnsiTheme="majorBidi" w:cstheme="majorBidi"/>
          <w:sz w:val="24"/>
          <w:szCs w:val="24"/>
          <w:lang w:val="en-US" w:eastAsia="fr-FR" w:bidi="he-IL"/>
        </w:rPr>
        <w:t xml:space="preserve">, G. (2021). Multiscale </w:t>
      </w:r>
      <w:r w:rsidR="00A8157A" w:rsidRPr="00D806D9">
        <w:rPr>
          <w:rFonts w:asciiTheme="majorBidi" w:eastAsia="Times New Roman" w:hAnsiTheme="majorBidi" w:cstheme="majorBidi"/>
          <w:sz w:val="24"/>
          <w:szCs w:val="24"/>
          <w:lang w:val="en-US" w:eastAsia="fr-FR" w:bidi="he-IL"/>
        </w:rPr>
        <w:t>I</w:t>
      </w:r>
      <w:r w:rsidRPr="00D806D9">
        <w:rPr>
          <w:rFonts w:asciiTheme="majorBidi" w:eastAsia="Times New Roman" w:hAnsiTheme="majorBidi" w:cstheme="majorBidi"/>
          <w:sz w:val="24"/>
          <w:szCs w:val="24"/>
          <w:lang w:val="en-US" w:eastAsia="fr-FR" w:bidi="he-IL"/>
        </w:rPr>
        <w:t xml:space="preserve">nterplay of </w:t>
      </w:r>
      <w:r w:rsidR="00A8157A" w:rsidRPr="00D806D9">
        <w:rPr>
          <w:rFonts w:asciiTheme="majorBidi" w:eastAsia="Times New Roman" w:hAnsiTheme="majorBidi" w:cstheme="majorBidi"/>
          <w:sz w:val="24"/>
          <w:szCs w:val="24"/>
          <w:lang w:val="en-US" w:eastAsia="fr-FR" w:bidi="he-IL"/>
        </w:rPr>
        <w:t>H</w:t>
      </w:r>
      <w:r w:rsidRPr="00D806D9">
        <w:rPr>
          <w:rFonts w:asciiTheme="majorBidi" w:eastAsia="Times New Roman" w:hAnsiTheme="majorBidi" w:cstheme="majorBidi"/>
          <w:sz w:val="24"/>
          <w:szCs w:val="24"/>
          <w:lang w:val="en-US" w:eastAsia="fr-FR" w:bidi="he-IL"/>
        </w:rPr>
        <w:t>igher-</w:t>
      </w:r>
      <w:r w:rsidR="00A8157A" w:rsidRPr="00D806D9">
        <w:rPr>
          <w:rFonts w:asciiTheme="majorBidi" w:eastAsia="Times New Roman" w:hAnsiTheme="majorBidi" w:cstheme="majorBidi"/>
          <w:sz w:val="24"/>
          <w:szCs w:val="24"/>
          <w:lang w:val="en-US" w:eastAsia="fr-FR" w:bidi="he-IL"/>
        </w:rPr>
        <w:t>O</w:t>
      </w:r>
      <w:r w:rsidRPr="00D806D9">
        <w:rPr>
          <w:rFonts w:asciiTheme="majorBidi" w:eastAsia="Times New Roman" w:hAnsiTheme="majorBidi" w:cstheme="majorBidi"/>
          <w:sz w:val="24"/>
          <w:szCs w:val="24"/>
          <w:lang w:val="en-US" w:eastAsia="fr-FR" w:bidi="he-IL"/>
        </w:rPr>
        <w:t xml:space="preserve">rder </w:t>
      </w:r>
      <w:r w:rsidR="00A8157A" w:rsidRPr="00D806D9">
        <w:rPr>
          <w:rFonts w:asciiTheme="majorBidi" w:eastAsia="Times New Roman" w:hAnsiTheme="majorBidi" w:cstheme="majorBidi"/>
          <w:sz w:val="24"/>
          <w:szCs w:val="24"/>
          <w:lang w:val="en-US" w:eastAsia="fr-FR" w:bidi="he-IL"/>
        </w:rPr>
        <w:t>M</w:t>
      </w:r>
      <w:r w:rsidRPr="00D806D9">
        <w:rPr>
          <w:rFonts w:asciiTheme="majorBidi" w:eastAsia="Times New Roman" w:hAnsiTheme="majorBidi" w:cstheme="majorBidi"/>
          <w:sz w:val="24"/>
          <w:szCs w:val="24"/>
          <w:lang w:val="en-US" w:eastAsia="fr-FR" w:bidi="he-IL"/>
        </w:rPr>
        <w:t xml:space="preserve">oments </w:t>
      </w:r>
      <w:r w:rsidR="00A8157A" w:rsidRPr="00D806D9">
        <w:rPr>
          <w:rFonts w:asciiTheme="majorBidi" w:eastAsia="Times New Roman" w:hAnsiTheme="majorBidi" w:cstheme="majorBidi"/>
          <w:sz w:val="24"/>
          <w:szCs w:val="24"/>
          <w:lang w:val="en-US" w:eastAsia="fr-FR" w:bidi="he-IL"/>
        </w:rPr>
        <w:t>B</w:t>
      </w:r>
      <w:r w:rsidRPr="00D806D9">
        <w:rPr>
          <w:rFonts w:asciiTheme="majorBidi" w:eastAsia="Times New Roman" w:hAnsiTheme="majorBidi" w:cstheme="majorBidi"/>
          <w:sz w:val="24"/>
          <w:szCs w:val="24"/>
          <w:lang w:val="en-US" w:eastAsia="fr-FR" w:bidi="he-IL"/>
        </w:rPr>
        <w:t xml:space="preserve">etween the </w:t>
      </w:r>
      <w:r w:rsidR="00A8157A"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arbon and </w:t>
      </w:r>
      <w:r w:rsidR="00A8157A" w:rsidRPr="00D806D9">
        <w:rPr>
          <w:rFonts w:asciiTheme="majorBidi" w:eastAsia="Times New Roman" w:hAnsiTheme="majorBidi" w:cstheme="majorBidi"/>
          <w:sz w:val="24"/>
          <w:szCs w:val="24"/>
          <w:lang w:val="en-US" w:eastAsia="fr-FR" w:bidi="he-IL"/>
        </w:rPr>
        <w:t>E</w:t>
      </w:r>
      <w:r w:rsidRPr="00D806D9">
        <w:rPr>
          <w:rFonts w:asciiTheme="majorBidi" w:eastAsia="Times New Roman" w:hAnsiTheme="majorBidi" w:cstheme="majorBidi"/>
          <w:sz w:val="24"/>
          <w:szCs w:val="24"/>
          <w:lang w:val="en-US" w:eastAsia="fr-FR" w:bidi="he-IL"/>
        </w:rPr>
        <w:t xml:space="preserve">nergy </w:t>
      </w:r>
      <w:r w:rsidR="00A8157A" w:rsidRPr="00D806D9">
        <w:rPr>
          <w:rFonts w:asciiTheme="majorBidi" w:eastAsia="Times New Roman" w:hAnsiTheme="majorBidi" w:cstheme="majorBidi"/>
          <w:sz w:val="24"/>
          <w:szCs w:val="24"/>
          <w:lang w:val="en-US" w:eastAsia="fr-FR" w:bidi="he-IL"/>
        </w:rPr>
        <w:t>M</w:t>
      </w:r>
      <w:r w:rsidRPr="00D806D9">
        <w:rPr>
          <w:rFonts w:asciiTheme="majorBidi" w:eastAsia="Times New Roman" w:hAnsiTheme="majorBidi" w:cstheme="majorBidi"/>
          <w:sz w:val="24"/>
          <w:szCs w:val="24"/>
          <w:lang w:val="en-US" w:eastAsia="fr-FR" w:bidi="he-IL"/>
        </w:rPr>
        <w:t xml:space="preserve">arkets </w:t>
      </w:r>
      <w:r w:rsidR="00A8157A" w:rsidRPr="00D806D9">
        <w:rPr>
          <w:rFonts w:asciiTheme="majorBidi" w:eastAsia="Times New Roman" w:hAnsiTheme="majorBidi" w:cstheme="majorBidi"/>
          <w:sz w:val="24"/>
          <w:szCs w:val="24"/>
          <w:lang w:val="en-US" w:eastAsia="fr-FR" w:bidi="he-IL"/>
        </w:rPr>
        <w:t>D</w:t>
      </w:r>
      <w:r w:rsidRPr="00D806D9">
        <w:rPr>
          <w:rFonts w:asciiTheme="majorBidi" w:eastAsia="Times New Roman" w:hAnsiTheme="majorBidi" w:cstheme="majorBidi"/>
          <w:sz w:val="24"/>
          <w:szCs w:val="24"/>
          <w:lang w:val="en-US" w:eastAsia="fr-FR" w:bidi="he-IL"/>
        </w:rPr>
        <w:t xml:space="preserve">uring Phase III of the EU ETS. </w:t>
      </w:r>
      <w:r w:rsidRPr="00D806D9">
        <w:rPr>
          <w:rFonts w:asciiTheme="majorBidi" w:eastAsia="Times New Roman" w:hAnsiTheme="majorBidi" w:cstheme="majorBidi"/>
          <w:i/>
          <w:iCs/>
          <w:sz w:val="24"/>
          <w:szCs w:val="24"/>
          <w:lang w:val="en-US" w:eastAsia="fr-FR" w:bidi="he-IL"/>
        </w:rPr>
        <w:t>Energy Policy</w:t>
      </w:r>
      <w:r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i/>
          <w:iCs/>
          <w:sz w:val="24"/>
          <w:szCs w:val="24"/>
          <w:lang w:val="en-US" w:eastAsia="fr-FR" w:bidi="he-IL"/>
        </w:rPr>
        <w:t>156</w:t>
      </w:r>
      <w:r w:rsidRPr="00D806D9">
        <w:rPr>
          <w:rFonts w:asciiTheme="majorBidi" w:eastAsia="Times New Roman" w:hAnsiTheme="majorBidi" w:cstheme="majorBidi"/>
          <w:sz w:val="24"/>
          <w:szCs w:val="24"/>
          <w:lang w:val="en-US" w:eastAsia="fr-FR" w:bidi="he-IL"/>
        </w:rPr>
        <w:t xml:space="preserve">, Article 112428. </w:t>
      </w:r>
      <w:hyperlink r:id="rId32" w:history="1">
        <w:r w:rsidRPr="00D806D9">
          <w:rPr>
            <w:rStyle w:val="Hyperlink"/>
            <w:rFonts w:asciiTheme="majorBidi" w:eastAsia="Times New Roman" w:hAnsiTheme="majorBidi" w:cstheme="majorBidi"/>
            <w:sz w:val="24"/>
            <w:szCs w:val="24"/>
            <w:lang w:val="en-US" w:eastAsia="fr-FR" w:bidi="he-IL"/>
          </w:rPr>
          <w:t>Link</w:t>
        </w:r>
      </w:hyperlink>
    </w:p>
    <w:p w14:paraId="17148A70" w14:textId="77777777" w:rsidR="00A8157A" w:rsidRPr="00D806D9" w:rsidRDefault="00A8157A"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30EC11CB" w14:textId="6FA9C16F"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Dales, J. (1968). </w:t>
      </w:r>
      <w:r w:rsidRPr="00D806D9">
        <w:rPr>
          <w:rFonts w:asciiTheme="majorBidi" w:eastAsia="Times New Roman" w:hAnsiTheme="majorBidi" w:cstheme="majorBidi"/>
          <w:i/>
          <w:iCs/>
          <w:color w:val="000000"/>
          <w:sz w:val="24"/>
          <w:szCs w:val="24"/>
          <w:lang w:val="en-US" w:eastAsia="fr-FR" w:bidi="he-IL"/>
        </w:rPr>
        <w:t>Pollution, Property and Prices: An Essay in Policy</w:t>
      </w:r>
      <w:r w:rsidRPr="00D806D9">
        <w:rPr>
          <w:rFonts w:asciiTheme="majorBidi" w:eastAsia="Times New Roman" w:hAnsiTheme="majorBidi" w:cstheme="majorBidi"/>
          <w:color w:val="000000"/>
          <w:sz w:val="24"/>
          <w:szCs w:val="24"/>
          <w:lang w:val="en-US" w:eastAsia="fr-FR" w:bidi="he-IL"/>
        </w:rPr>
        <w:t>. University of Toronto Press, 1968.</w:t>
      </w:r>
    </w:p>
    <w:p w14:paraId="5E6EB93B" w14:textId="77777777" w:rsidR="00414C76" w:rsidRPr="00D806D9" w:rsidRDefault="00414C76"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
    <w:p w14:paraId="6B736A7E" w14:textId="7B696244"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De </w:t>
      </w:r>
      <w:proofErr w:type="spellStart"/>
      <w:r w:rsidRPr="00D806D9">
        <w:rPr>
          <w:rFonts w:asciiTheme="majorBidi" w:hAnsiTheme="majorBidi" w:cstheme="majorBidi"/>
          <w:sz w:val="24"/>
          <w:szCs w:val="24"/>
          <w:lang w:val="en-US"/>
        </w:rPr>
        <w:t>Perthuis</w:t>
      </w:r>
      <w:proofErr w:type="spellEnd"/>
      <w:r w:rsidRPr="00D806D9">
        <w:rPr>
          <w:rFonts w:asciiTheme="majorBidi" w:hAnsiTheme="majorBidi" w:cstheme="majorBidi"/>
          <w:sz w:val="24"/>
          <w:szCs w:val="24"/>
          <w:lang w:val="en-US"/>
        </w:rPr>
        <w:t>, C.</w:t>
      </w:r>
      <w:r w:rsidR="00414C76"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&amp; </w:t>
      </w:r>
      <w:proofErr w:type="spellStart"/>
      <w:r w:rsidRPr="00D806D9">
        <w:rPr>
          <w:rFonts w:asciiTheme="majorBidi" w:hAnsiTheme="majorBidi" w:cstheme="majorBidi"/>
          <w:sz w:val="24"/>
          <w:szCs w:val="24"/>
          <w:lang w:val="en-US"/>
        </w:rPr>
        <w:t>Trotignon</w:t>
      </w:r>
      <w:proofErr w:type="spellEnd"/>
      <w:r w:rsidRPr="00D806D9">
        <w:rPr>
          <w:rFonts w:asciiTheme="majorBidi" w:hAnsiTheme="majorBidi" w:cstheme="majorBidi"/>
          <w:sz w:val="24"/>
          <w:szCs w:val="24"/>
          <w:lang w:val="en-US"/>
        </w:rPr>
        <w:t>, R. (2014). Governance of CO</w:t>
      </w:r>
      <w:r w:rsidRPr="00D806D9">
        <w:rPr>
          <w:rFonts w:asciiTheme="majorBidi" w:hAnsiTheme="majorBidi" w:cstheme="majorBidi"/>
          <w:sz w:val="24"/>
          <w:szCs w:val="24"/>
          <w:vertAlign w:val="subscript"/>
          <w:lang w:val="en-US"/>
        </w:rPr>
        <w:t xml:space="preserve">2 </w:t>
      </w:r>
      <w:r w:rsidRPr="00D806D9">
        <w:rPr>
          <w:rFonts w:asciiTheme="majorBidi" w:hAnsiTheme="majorBidi" w:cstheme="majorBidi"/>
          <w:sz w:val="24"/>
          <w:szCs w:val="24"/>
          <w:lang w:val="en-US"/>
        </w:rPr>
        <w:t xml:space="preserve">Markets: Lesson from the EU ETS. </w:t>
      </w:r>
      <w:r w:rsidRPr="00D806D9">
        <w:rPr>
          <w:rFonts w:asciiTheme="majorBidi" w:hAnsiTheme="majorBidi" w:cstheme="majorBidi"/>
          <w:i/>
          <w:iCs/>
          <w:sz w:val="24"/>
          <w:szCs w:val="24"/>
          <w:lang w:val="en-US"/>
        </w:rPr>
        <w:t>Energy Policy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75</w:t>
      </w:r>
      <w:r w:rsidRPr="00D806D9">
        <w:rPr>
          <w:rFonts w:asciiTheme="majorBidi" w:hAnsiTheme="majorBidi" w:cstheme="majorBidi"/>
          <w:sz w:val="24"/>
          <w:szCs w:val="24"/>
          <w:lang w:val="en-US"/>
        </w:rPr>
        <w:t>, 100-106</w:t>
      </w:r>
      <w:r w:rsidR="00414C76" w:rsidRPr="00D806D9">
        <w:rPr>
          <w:rFonts w:asciiTheme="majorBidi" w:hAnsiTheme="majorBidi" w:cstheme="majorBidi"/>
          <w:sz w:val="24"/>
          <w:szCs w:val="24"/>
          <w:lang w:val="en-US"/>
        </w:rPr>
        <w:t xml:space="preserve">. </w:t>
      </w:r>
      <w:hyperlink r:id="rId33" w:history="1">
        <w:r w:rsidR="00414C76" w:rsidRPr="00D806D9">
          <w:rPr>
            <w:rStyle w:val="Hyperlink"/>
            <w:rFonts w:asciiTheme="majorBidi" w:hAnsiTheme="majorBidi" w:cstheme="majorBidi"/>
            <w:sz w:val="24"/>
            <w:szCs w:val="24"/>
            <w:lang w:val="en-US"/>
          </w:rPr>
          <w:t>Link</w:t>
        </w:r>
      </w:hyperlink>
    </w:p>
    <w:p w14:paraId="02936EF8" w14:textId="77777777" w:rsidR="00414C76" w:rsidRPr="00D806D9" w:rsidRDefault="00414C76" w:rsidP="00003440">
      <w:pPr>
        <w:autoSpaceDE w:val="0"/>
        <w:autoSpaceDN w:val="0"/>
        <w:adjustRightInd w:val="0"/>
        <w:spacing w:after="0" w:line="240" w:lineRule="auto"/>
        <w:jc w:val="both"/>
        <w:rPr>
          <w:rFonts w:asciiTheme="majorBidi" w:hAnsiTheme="majorBidi" w:cstheme="majorBidi"/>
          <w:sz w:val="24"/>
          <w:szCs w:val="24"/>
          <w:lang w:val="en-US"/>
        </w:rPr>
      </w:pPr>
    </w:p>
    <w:p w14:paraId="45C94422" w14:textId="6DD3DE81" w:rsidR="00E60725" w:rsidRPr="00397B73"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de-AT" w:eastAsia="fr-FR" w:bidi="he-IL"/>
        </w:rPr>
      </w:pPr>
      <w:r w:rsidRPr="00D806D9">
        <w:rPr>
          <w:rFonts w:asciiTheme="majorBidi" w:eastAsia="Times New Roman" w:hAnsiTheme="majorBidi" w:cstheme="majorBidi"/>
          <w:sz w:val="24"/>
          <w:szCs w:val="24"/>
          <w:lang w:val="en-US" w:eastAsia="fr-FR" w:bidi="he-IL"/>
        </w:rPr>
        <w:t xml:space="preserve">Den Hertog, J. A. (2010). Review of </w:t>
      </w:r>
      <w:r w:rsidR="0027022A" w:rsidRPr="00D806D9">
        <w:rPr>
          <w:rFonts w:asciiTheme="majorBidi" w:eastAsia="Times New Roman" w:hAnsiTheme="majorBidi" w:cstheme="majorBidi"/>
          <w:sz w:val="24"/>
          <w:szCs w:val="24"/>
          <w:lang w:val="en-US" w:eastAsia="fr-FR" w:bidi="he-IL"/>
        </w:rPr>
        <w:t>E</w:t>
      </w:r>
      <w:r w:rsidRPr="00D806D9">
        <w:rPr>
          <w:rFonts w:asciiTheme="majorBidi" w:eastAsia="Times New Roman" w:hAnsiTheme="majorBidi" w:cstheme="majorBidi"/>
          <w:sz w:val="24"/>
          <w:szCs w:val="24"/>
          <w:lang w:val="en-US" w:eastAsia="fr-FR" w:bidi="he-IL"/>
        </w:rPr>
        <w:t xml:space="preserve">conomic </w:t>
      </w:r>
      <w:r w:rsidR="0027022A" w:rsidRPr="00D806D9">
        <w:rPr>
          <w:rFonts w:asciiTheme="majorBidi" w:eastAsia="Times New Roman" w:hAnsiTheme="majorBidi" w:cstheme="majorBidi"/>
          <w:sz w:val="24"/>
          <w:szCs w:val="24"/>
          <w:lang w:val="en-US" w:eastAsia="fr-FR" w:bidi="he-IL"/>
        </w:rPr>
        <w:t>T</w:t>
      </w:r>
      <w:r w:rsidRPr="00D806D9">
        <w:rPr>
          <w:rFonts w:asciiTheme="majorBidi" w:eastAsia="Times New Roman" w:hAnsiTheme="majorBidi" w:cstheme="majorBidi"/>
          <w:sz w:val="24"/>
          <w:szCs w:val="24"/>
          <w:lang w:val="en-US" w:eastAsia="fr-FR" w:bidi="he-IL"/>
        </w:rPr>
        <w:t xml:space="preserve">heories of </w:t>
      </w:r>
      <w:r w:rsidR="0027022A" w:rsidRPr="00D806D9">
        <w:rPr>
          <w:rFonts w:asciiTheme="majorBidi" w:eastAsia="Times New Roman" w:hAnsiTheme="majorBidi" w:cstheme="majorBidi"/>
          <w:sz w:val="24"/>
          <w:szCs w:val="24"/>
          <w:lang w:val="en-US" w:eastAsia="fr-FR" w:bidi="he-IL"/>
        </w:rPr>
        <w:t>R</w:t>
      </w:r>
      <w:r w:rsidRPr="00D806D9">
        <w:rPr>
          <w:rFonts w:asciiTheme="majorBidi" w:eastAsia="Times New Roman" w:hAnsiTheme="majorBidi" w:cstheme="majorBidi"/>
          <w:sz w:val="24"/>
          <w:szCs w:val="24"/>
          <w:lang w:val="en-US" w:eastAsia="fr-FR" w:bidi="he-IL"/>
        </w:rPr>
        <w:t xml:space="preserve">egulation. </w:t>
      </w:r>
      <w:r w:rsidRPr="00397B73">
        <w:rPr>
          <w:rFonts w:asciiTheme="majorBidi" w:eastAsia="Times New Roman" w:hAnsiTheme="majorBidi" w:cstheme="majorBidi"/>
          <w:sz w:val="24"/>
          <w:szCs w:val="24"/>
          <w:lang w:val="de-AT" w:eastAsia="fr-FR" w:bidi="he-IL"/>
        </w:rPr>
        <w:t xml:space="preserve">Tjalling C. Koopmans Research Institute, Discussion Paper Series N°10-18. </w:t>
      </w:r>
      <w:r w:rsidR="00000000">
        <w:fldChar w:fldCharType="begin"/>
      </w:r>
      <w:r w:rsidR="00000000" w:rsidRPr="00FD6132">
        <w:rPr>
          <w:lang w:val="de-AT"/>
        </w:rPr>
        <w:instrText xml:space="preserve"> HYPERLINK "https://www.uu.nl/sites/default/files/rebo_use_dp_2010_10-18.pdf" </w:instrText>
      </w:r>
      <w:r w:rsidR="00000000">
        <w:fldChar w:fldCharType="separate"/>
      </w:r>
      <w:r w:rsidRPr="00397B73">
        <w:rPr>
          <w:rStyle w:val="Hyperlink"/>
          <w:rFonts w:asciiTheme="majorBidi" w:eastAsia="Times New Roman" w:hAnsiTheme="majorBidi" w:cstheme="majorBidi"/>
          <w:sz w:val="24"/>
          <w:szCs w:val="24"/>
          <w:lang w:val="de-AT" w:eastAsia="fr-FR" w:bidi="he-IL"/>
        </w:rPr>
        <w:t>Link</w:t>
      </w:r>
      <w:r w:rsidR="00000000">
        <w:rPr>
          <w:rStyle w:val="Hyperlink"/>
          <w:rFonts w:asciiTheme="majorBidi" w:eastAsia="Times New Roman" w:hAnsiTheme="majorBidi" w:cstheme="majorBidi"/>
          <w:sz w:val="24"/>
          <w:szCs w:val="24"/>
          <w:lang w:val="de-AT" w:eastAsia="fr-FR" w:bidi="he-IL"/>
        </w:rPr>
        <w:fldChar w:fldCharType="end"/>
      </w:r>
    </w:p>
    <w:p w14:paraId="4B9D4A92" w14:textId="77777777" w:rsidR="0027022A" w:rsidRPr="00397B73" w:rsidRDefault="0027022A" w:rsidP="00003440">
      <w:pPr>
        <w:autoSpaceDE w:val="0"/>
        <w:autoSpaceDN w:val="0"/>
        <w:adjustRightInd w:val="0"/>
        <w:spacing w:after="0" w:line="240" w:lineRule="auto"/>
        <w:jc w:val="both"/>
        <w:rPr>
          <w:rFonts w:asciiTheme="majorBidi" w:eastAsia="Times New Roman" w:hAnsiTheme="majorBidi" w:cstheme="majorBidi"/>
          <w:sz w:val="24"/>
          <w:szCs w:val="24"/>
          <w:lang w:val="de-AT" w:eastAsia="fr-FR" w:bidi="he-IL"/>
        </w:rPr>
      </w:pPr>
    </w:p>
    <w:p w14:paraId="5547969B" w14:textId="5D14257D" w:rsidR="00E60725" w:rsidRPr="00397B73" w:rsidRDefault="00E60725"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de-AT" w:eastAsia="fr-FR" w:bidi="he-IL"/>
        </w:rPr>
      </w:pPr>
      <w:r w:rsidRPr="00397B73">
        <w:rPr>
          <w:rFonts w:asciiTheme="majorBidi" w:hAnsiTheme="majorBidi" w:cstheme="majorBidi"/>
          <w:sz w:val="24"/>
          <w:szCs w:val="24"/>
          <w:lang w:val="de-AT"/>
        </w:rPr>
        <w:t xml:space="preserve">DERA. (2021). </w:t>
      </w:r>
      <w:r w:rsidRPr="00397B73">
        <w:rPr>
          <w:rFonts w:asciiTheme="majorBidi" w:hAnsiTheme="majorBidi" w:cstheme="majorBidi"/>
          <w:i/>
          <w:iCs/>
          <w:sz w:val="24"/>
          <w:szCs w:val="24"/>
          <w:lang w:val="de-AT"/>
        </w:rPr>
        <w:t>Mineralische Rohstoffe für die Wasserelektrolyse</w:t>
      </w:r>
      <w:r w:rsidRPr="00397B73">
        <w:rPr>
          <w:rFonts w:asciiTheme="majorBidi" w:hAnsiTheme="majorBidi" w:cstheme="majorBidi"/>
          <w:sz w:val="24"/>
          <w:szCs w:val="24"/>
          <w:lang w:val="de-AT"/>
        </w:rPr>
        <w:t>. Bundesanstalt für</w:t>
      </w:r>
      <w:r w:rsidRPr="00397B73">
        <w:rPr>
          <w:rFonts w:asciiTheme="majorBidi" w:eastAsia="Times New Roman" w:hAnsiTheme="majorBidi" w:cstheme="majorBidi"/>
          <w:color w:val="000000"/>
          <w:sz w:val="24"/>
          <w:szCs w:val="24"/>
          <w:lang w:val="de-AT" w:eastAsia="fr-FR" w:bidi="he-IL"/>
        </w:rPr>
        <w:t xml:space="preserve"> Geowissenschaften und Rohstoffe</w:t>
      </w:r>
    </w:p>
    <w:p w14:paraId="68EF10BD" w14:textId="77777777" w:rsidR="00697FFA" w:rsidRPr="00397B73" w:rsidRDefault="00697FFA" w:rsidP="00003440">
      <w:pPr>
        <w:autoSpaceDE w:val="0"/>
        <w:autoSpaceDN w:val="0"/>
        <w:adjustRightInd w:val="0"/>
        <w:spacing w:after="0" w:line="240" w:lineRule="auto"/>
        <w:jc w:val="both"/>
        <w:rPr>
          <w:rFonts w:asciiTheme="majorBidi" w:hAnsiTheme="majorBidi" w:cstheme="majorBidi"/>
          <w:sz w:val="24"/>
          <w:szCs w:val="24"/>
          <w:lang w:val="de-AT"/>
        </w:rPr>
      </w:pPr>
    </w:p>
    <w:p w14:paraId="36699260" w14:textId="2511C1A2" w:rsidR="00E60725" w:rsidRPr="00397B73" w:rsidRDefault="00E60725" w:rsidP="00003440">
      <w:pPr>
        <w:pStyle w:val="FootnoteText"/>
        <w:jc w:val="both"/>
        <w:rPr>
          <w:rFonts w:asciiTheme="majorBidi" w:hAnsiTheme="majorBidi" w:cstheme="majorBidi"/>
          <w:sz w:val="24"/>
          <w:szCs w:val="24"/>
        </w:rPr>
      </w:pPr>
      <w:r w:rsidRPr="00397B73">
        <w:rPr>
          <w:rFonts w:asciiTheme="majorBidi" w:hAnsiTheme="majorBidi" w:cstheme="majorBidi"/>
          <w:sz w:val="24"/>
          <w:szCs w:val="24"/>
          <w:lang w:val="de-AT"/>
        </w:rPr>
        <w:t xml:space="preserve">Derwent, R., Simmonds, P., O’Doherty, S., Manning, A., Collins, W., Johnson, C., Sanderson, M., &amp; Stevenson, D., (2006). </w:t>
      </w:r>
      <w:r w:rsidRPr="00D806D9">
        <w:rPr>
          <w:rFonts w:asciiTheme="majorBidi" w:hAnsiTheme="majorBidi" w:cstheme="majorBidi"/>
          <w:sz w:val="24"/>
          <w:szCs w:val="24"/>
          <w:lang w:val="en-US"/>
        </w:rPr>
        <w:t xml:space="preserve">Global Environmental Impacts of the Hydrogen Economy. </w:t>
      </w:r>
      <w:r w:rsidRPr="00D806D9">
        <w:rPr>
          <w:rFonts w:asciiTheme="majorBidi" w:hAnsiTheme="majorBidi" w:cstheme="majorBidi"/>
          <w:i/>
          <w:iCs/>
          <w:sz w:val="24"/>
          <w:szCs w:val="24"/>
          <w:lang w:val="en-US"/>
        </w:rPr>
        <w:t>International Journal of Nuclear Hydrogen Production and Application</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w:t>
      </w:r>
      <w:r w:rsidRPr="00D806D9">
        <w:rPr>
          <w:rFonts w:asciiTheme="majorBidi" w:hAnsiTheme="majorBidi" w:cstheme="majorBidi"/>
          <w:sz w:val="24"/>
          <w:szCs w:val="24"/>
          <w:lang w:val="en-US"/>
        </w:rPr>
        <w:t xml:space="preserve">(1), 57-67. </w:t>
      </w:r>
      <w:hyperlink r:id="rId34" w:history="1">
        <w:r w:rsidRPr="00397B73">
          <w:rPr>
            <w:rStyle w:val="Hyperlink"/>
            <w:rFonts w:asciiTheme="majorBidi" w:hAnsiTheme="majorBidi" w:cstheme="majorBidi"/>
            <w:sz w:val="24"/>
            <w:szCs w:val="24"/>
          </w:rPr>
          <w:t>Link</w:t>
        </w:r>
      </w:hyperlink>
      <w:r w:rsidRPr="00397B73">
        <w:rPr>
          <w:rFonts w:asciiTheme="majorBidi" w:hAnsiTheme="majorBidi" w:cstheme="majorBidi"/>
          <w:sz w:val="24"/>
          <w:szCs w:val="24"/>
        </w:rPr>
        <w:t xml:space="preserve"> (</w:t>
      </w:r>
      <w:proofErr w:type="spellStart"/>
      <w:r w:rsidRPr="00397B73">
        <w:rPr>
          <w:rFonts w:asciiTheme="majorBidi" w:hAnsiTheme="majorBidi" w:cstheme="majorBidi"/>
          <w:sz w:val="24"/>
          <w:szCs w:val="24"/>
        </w:rPr>
        <w:t>accessed</w:t>
      </w:r>
      <w:proofErr w:type="spellEnd"/>
      <w:r w:rsidRPr="00397B73">
        <w:rPr>
          <w:rFonts w:asciiTheme="majorBidi" w:hAnsiTheme="majorBidi" w:cstheme="majorBidi"/>
          <w:sz w:val="24"/>
          <w:szCs w:val="24"/>
        </w:rPr>
        <w:t xml:space="preserve"> on April 4</w:t>
      </w:r>
      <w:r w:rsidRPr="00397B73">
        <w:rPr>
          <w:rFonts w:asciiTheme="majorBidi" w:hAnsiTheme="majorBidi" w:cstheme="majorBidi"/>
          <w:sz w:val="24"/>
          <w:szCs w:val="24"/>
          <w:vertAlign w:val="superscript"/>
        </w:rPr>
        <w:t>th</w:t>
      </w:r>
      <w:r w:rsidRPr="00397B73">
        <w:rPr>
          <w:rFonts w:asciiTheme="majorBidi" w:hAnsiTheme="majorBidi" w:cstheme="majorBidi"/>
          <w:sz w:val="24"/>
          <w:szCs w:val="24"/>
        </w:rPr>
        <w:t xml:space="preserve"> 2022)</w:t>
      </w:r>
    </w:p>
    <w:p w14:paraId="353E3227" w14:textId="77777777" w:rsidR="00A82ED7" w:rsidRPr="00397B73" w:rsidRDefault="00A82ED7" w:rsidP="00003440">
      <w:pPr>
        <w:pStyle w:val="FootnoteText"/>
        <w:jc w:val="both"/>
        <w:rPr>
          <w:rFonts w:asciiTheme="majorBidi" w:hAnsiTheme="majorBidi" w:cstheme="majorBidi"/>
          <w:sz w:val="24"/>
          <w:szCs w:val="24"/>
        </w:rPr>
      </w:pPr>
    </w:p>
    <w:p w14:paraId="0B212D18" w14:textId="3C460AB3" w:rsidR="00E60725" w:rsidRPr="00D806D9" w:rsidRDefault="00E60725" w:rsidP="00003440">
      <w:pPr>
        <w:pStyle w:val="FootnoteText"/>
        <w:jc w:val="both"/>
        <w:rPr>
          <w:rFonts w:asciiTheme="majorBidi" w:hAnsiTheme="majorBidi" w:cstheme="majorBidi"/>
          <w:sz w:val="24"/>
          <w:szCs w:val="24"/>
          <w:lang w:val="en-US"/>
        </w:rPr>
      </w:pPr>
      <w:r w:rsidRPr="00397B73">
        <w:rPr>
          <w:rFonts w:asciiTheme="majorBidi" w:hAnsiTheme="majorBidi" w:cstheme="majorBidi"/>
          <w:sz w:val="24"/>
          <w:szCs w:val="24"/>
        </w:rPr>
        <w:t>Deshaies, M. (2020). Problèmes géographiques des transitions énergétiques : quelles perspectives pour l’évolution du système énergétique ?. </w:t>
      </w:r>
      <w:proofErr w:type="spellStart"/>
      <w:r w:rsidRPr="00D806D9">
        <w:rPr>
          <w:rFonts w:asciiTheme="majorBidi" w:hAnsiTheme="majorBidi" w:cstheme="majorBidi"/>
          <w:i/>
          <w:iCs/>
          <w:sz w:val="24"/>
          <w:szCs w:val="24"/>
          <w:lang w:val="en-US"/>
        </w:rPr>
        <w:t>Mondes</w:t>
      </w:r>
      <w:proofErr w:type="spellEnd"/>
      <w:r w:rsidRPr="00D806D9">
        <w:rPr>
          <w:rFonts w:asciiTheme="majorBidi" w:hAnsiTheme="majorBidi" w:cstheme="majorBidi"/>
          <w:i/>
          <w:iCs/>
          <w:sz w:val="24"/>
          <w:szCs w:val="24"/>
          <w:lang w:val="en-US"/>
        </w:rPr>
        <w:t xml:space="preserve"> </w:t>
      </w:r>
      <w:proofErr w:type="spellStart"/>
      <w:r w:rsidRPr="00D806D9">
        <w:rPr>
          <w:rFonts w:asciiTheme="majorBidi" w:hAnsiTheme="majorBidi" w:cstheme="majorBidi"/>
          <w:i/>
          <w:iCs/>
          <w:sz w:val="24"/>
          <w:szCs w:val="24"/>
          <w:lang w:val="en-US"/>
        </w:rPr>
        <w:t>en</w:t>
      </w:r>
      <w:proofErr w:type="spellEnd"/>
      <w:r w:rsidRPr="00D806D9">
        <w:rPr>
          <w:rFonts w:asciiTheme="majorBidi" w:hAnsiTheme="majorBidi" w:cstheme="majorBidi"/>
          <w:i/>
          <w:iCs/>
          <w:sz w:val="24"/>
          <w:szCs w:val="24"/>
          <w:lang w:val="en-US"/>
        </w:rPr>
        <w:t xml:space="preserve"> </w:t>
      </w:r>
      <w:proofErr w:type="spellStart"/>
      <w:r w:rsidRPr="00D806D9">
        <w:rPr>
          <w:rFonts w:asciiTheme="majorBidi" w:hAnsiTheme="majorBidi" w:cstheme="majorBidi"/>
          <w:i/>
          <w:iCs/>
          <w:sz w:val="24"/>
          <w:szCs w:val="24"/>
          <w:lang w:val="en-US"/>
        </w:rPr>
        <w:t>développement</w:t>
      </w:r>
      <w:proofErr w:type="spellEnd"/>
      <w:r w:rsidRPr="00D806D9">
        <w:rPr>
          <w:rFonts w:asciiTheme="majorBidi" w:hAnsiTheme="majorBidi" w:cstheme="majorBidi"/>
          <w:sz w:val="24"/>
          <w:szCs w:val="24"/>
          <w:lang w:val="en-US"/>
        </w:rPr>
        <w:t>, 192, 25-44. </w:t>
      </w:r>
      <w:hyperlink r:id="rId35"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May 8</w:t>
      </w:r>
      <w:r w:rsidRPr="00D806D9">
        <w:rPr>
          <w:rFonts w:asciiTheme="majorBidi" w:hAnsiTheme="majorBidi" w:cstheme="majorBidi"/>
          <w:sz w:val="24"/>
          <w:szCs w:val="24"/>
          <w:vertAlign w:val="superscript"/>
          <w:lang w:val="en-US"/>
        </w:rPr>
        <w:t>th</w:t>
      </w:r>
      <w:r w:rsidR="00545765"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2022) </w:t>
      </w:r>
    </w:p>
    <w:p w14:paraId="3CF1F6AF" w14:textId="77777777" w:rsidR="00A82ED7" w:rsidRPr="00D806D9" w:rsidRDefault="00A82ED7" w:rsidP="00003440">
      <w:pPr>
        <w:pStyle w:val="FootnoteText"/>
        <w:jc w:val="both"/>
        <w:rPr>
          <w:rFonts w:asciiTheme="majorBidi" w:hAnsiTheme="majorBidi" w:cstheme="majorBidi"/>
          <w:sz w:val="24"/>
          <w:szCs w:val="24"/>
          <w:lang w:val="en-US"/>
        </w:rPr>
      </w:pPr>
    </w:p>
    <w:p w14:paraId="12CB9863" w14:textId="7E6B8926" w:rsidR="00E60725" w:rsidRPr="00D806D9" w:rsidRDefault="00E60725" w:rsidP="00003440">
      <w:pPr>
        <w:pStyle w:val="FootnoteText"/>
        <w:jc w:val="both"/>
        <w:rPr>
          <w:rStyle w:val="Hyperlink"/>
          <w:rFonts w:asciiTheme="majorBidi" w:eastAsia="Times New Roman" w:hAnsiTheme="majorBidi" w:cstheme="majorBidi"/>
          <w:sz w:val="24"/>
          <w:szCs w:val="24"/>
          <w:lang w:val="en-US" w:eastAsia="fr-FR" w:bidi="he-IL"/>
        </w:rPr>
      </w:pPr>
      <w:proofErr w:type="spellStart"/>
      <w:r w:rsidRPr="00D806D9">
        <w:rPr>
          <w:rFonts w:asciiTheme="majorBidi" w:eastAsia="Times New Roman" w:hAnsiTheme="majorBidi" w:cstheme="majorBidi"/>
          <w:color w:val="000000"/>
          <w:sz w:val="24"/>
          <w:szCs w:val="24"/>
          <w:lang w:val="en-US" w:eastAsia="fr-FR" w:bidi="he-IL"/>
        </w:rPr>
        <w:t>Diffenbaugh</w:t>
      </w:r>
      <w:proofErr w:type="spellEnd"/>
      <w:r w:rsidRPr="00D806D9">
        <w:rPr>
          <w:rFonts w:asciiTheme="majorBidi" w:eastAsia="Times New Roman" w:hAnsiTheme="majorBidi" w:cstheme="majorBidi"/>
          <w:color w:val="000000"/>
          <w:sz w:val="24"/>
          <w:szCs w:val="24"/>
          <w:lang w:val="en-US" w:eastAsia="fr-FR" w:bidi="he-IL"/>
        </w:rPr>
        <w:t>, N. S.</w:t>
      </w:r>
      <w:r w:rsidR="00545765" w:rsidRPr="00D806D9">
        <w:rPr>
          <w:rFonts w:asciiTheme="majorBidi" w:eastAsia="Times New Roman" w:hAnsiTheme="majorBidi" w:cstheme="majorBidi"/>
          <w:color w:val="000000"/>
          <w:sz w:val="24"/>
          <w:szCs w:val="24"/>
          <w:lang w:val="en-US" w:eastAsia="fr-FR" w:bidi="he-IL"/>
        </w:rPr>
        <w:t>,</w:t>
      </w:r>
      <w:r w:rsidRPr="00D806D9">
        <w:rPr>
          <w:rFonts w:asciiTheme="majorBidi" w:eastAsia="Times New Roman" w:hAnsiTheme="majorBidi" w:cstheme="majorBidi"/>
          <w:color w:val="000000"/>
          <w:sz w:val="24"/>
          <w:szCs w:val="24"/>
          <w:lang w:val="en-US" w:eastAsia="fr-FR" w:bidi="he-IL"/>
        </w:rPr>
        <w:t xml:space="preserve"> &amp; Burke, M. (2019). Global </w:t>
      </w:r>
      <w:r w:rsidR="00545765" w:rsidRPr="00D806D9">
        <w:rPr>
          <w:rFonts w:asciiTheme="majorBidi" w:eastAsia="Times New Roman" w:hAnsiTheme="majorBidi" w:cstheme="majorBidi"/>
          <w:color w:val="000000"/>
          <w:sz w:val="24"/>
          <w:szCs w:val="24"/>
          <w:lang w:val="en-US" w:eastAsia="fr-FR" w:bidi="he-IL"/>
        </w:rPr>
        <w:t>W</w:t>
      </w:r>
      <w:r w:rsidRPr="00D806D9">
        <w:rPr>
          <w:rFonts w:asciiTheme="majorBidi" w:eastAsia="Times New Roman" w:hAnsiTheme="majorBidi" w:cstheme="majorBidi"/>
          <w:color w:val="000000"/>
          <w:sz w:val="24"/>
          <w:szCs w:val="24"/>
          <w:lang w:val="en-US" w:eastAsia="fr-FR" w:bidi="he-IL"/>
        </w:rPr>
        <w:t xml:space="preserve">arming has </w:t>
      </w:r>
      <w:r w:rsidR="00545765" w:rsidRPr="00D806D9">
        <w:rPr>
          <w:rFonts w:asciiTheme="majorBidi" w:eastAsia="Times New Roman" w:hAnsiTheme="majorBidi" w:cstheme="majorBidi"/>
          <w:color w:val="000000"/>
          <w:sz w:val="24"/>
          <w:szCs w:val="24"/>
          <w:lang w:val="en-US" w:eastAsia="fr-FR" w:bidi="he-IL"/>
        </w:rPr>
        <w:t>I</w:t>
      </w:r>
      <w:r w:rsidRPr="00D806D9">
        <w:rPr>
          <w:rFonts w:asciiTheme="majorBidi" w:eastAsia="Times New Roman" w:hAnsiTheme="majorBidi" w:cstheme="majorBidi"/>
          <w:color w:val="000000"/>
          <w:sz w:val="24"/>
          <w:szCs w:val="24"/>
          <w:lang w:val="en-US" w:eastAsia="fr-FR" w:bidi="he-IL"/>
        </w:rPr>
        <w:t xml:space="preserve">ncreased </w:t>
      </w:r>
      <w:r w:rsidR="00545765" w:rsidRPr="00D806D9">
        <w:rPr>
          <w:rFonts w:asciiTheme="majorBidi" w:eastAsia="Times New Roman" w:hAnsiTheme="majorBidi" w:cstheme="majorBidi"/>
          <w:color w:val="000000"/>
          <w:sz w:val="24"/>
          <w:szCs w:val="24"/>
          <w:lang w:val="en-US" w:eastAsia="fr-FR" w:bidi="he-IL"/>
        </w:rPr>
        <w:t>G</w:t>
      </w:r>
      <w:r w:rsidRPr="00D806D9">
        <w:rPr>
          <w:rFonts w:asciiTheme="majorBidi" w:eastAsia="Times New Roman" w:hAnsiTheme="majorBidi" w:cstheme="majorBidi"/>
          <w:color w:val="000000"/>
          <w:sz w:val="24"/>
          <w:szCs w:val="24"/>
          <w:lang w:val="en-US" w:eastAsia="fr-FR" w:bidi="he-IL"/>
        </w:rPr>
        <w:t xml:space="preserve">lobal </w:t>
      </w:r>
      <w:r w:rsidR="00545765" w:rsidRPr="00D806D9">
        <w:rPr>
          <w:rFonts w:asciiTheme="majorBidi" w:eastAsia="Times New Roman" w:hAnsiTheme="majorBidi" w:cstheme="majorBidi"/>
          <w:color w:val="000000"/>
          <w:sz w:val="24"/>
          <w:szCs w:val="24"/>
          <w:lang w:val="en-US" w:eastAsia="fr-FR" w:bidi="he-IL"/>
        </w:rPr>
        <w:t>E</w:t>
      </w:r>
      <w:r w:rsidRPr="00D806D9">
        <w:rPr>
          <w:rFonts w:asciiTheme="majorBidi" w:eastAsia="Times New Roman" w:hAnsiTheme="majorBidi" w:cstheme="majorBidi"/>
          <w:color w:val="000000"/>
          <w:sz w:val="24"/>
          <w:szCs w:val="24"/>
          <w:lang w:val="en-US" w:eastAsia="fr-FR" w:bidi="he-IL"/>
        </w:rPr>
        <w:t xml:space="preserve">conomic </w:t>
      </w:r>
      <w:r w:rsidR="00545765" w:rsidRPr="00D806D9">
        <w:rPr>
          <w:rFonts w:asciiTheme="majorBidi" w:eastAsia="Times New Roman" w:hAnsiTheme="majorBidi" w:cstheme="majorBidi"/>
          <w:color w:val="000000"/>
          <w:sz w:val="24"/>
          <w:szCs w:val="24"/>
          <w:lang w:val="en-US" w:eastAsia="fr-FR" w:bidi="he-IL"/>
        </w:rPr>
        <w:t>I</w:t>
      </w:r>
      <w:r w:rsidRPr="00D806D9">
        <w:rPr>
          <w:rFonts w:asciiTheme="majorBidi" w:eastAsia="Times New Roman" w:hAnsiTheme="majorBidi" w:cstheme="majorBidi"/>
          <w:color w:val="000000"/>
          <w:sz w:val="24"/>
          <w:szCs w:val="24"/>
          <w:lang w:val="en-US" w:eastAsia="fr-FR" w:bidi="he-IL"/>
        </w:rPr>
        <w:t xml:space="preserve">nequality. </w:t>
      </w:r>
      <w:r w:rsidRPr="00D806D9">
        <w:rPr>
          <w:rFonts w:asciiTheme="majorBidi" w:eastAsia="Times New Roman" w:hAnsiTheme="majorBidi" w:cstheme="majorBidi"/>
          <w:i/>
          <w:iCs/>
          <w:color w:val="000000"/>
          <w:sz w:val="24"/>
          <w:szCs w:val="24"/>
          <w:lang w:val="en-US" w:eastAsia="fr-FR" w:bidi="he-IL"/>
        </w:rPr>
        <w:t>Proceedings of the National Academy of Sciences</w:t>
      </w:r>
      <w:r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i/>
          <w:iCs/>
          <w:color w:val="000000"/>
          <w:sz w:val="24"/>
          <w:szCs w:val="24"/>
          <w:lang w:val="en-US" w:eastAsia="fr-FR" w:bidi="he-IL"/>
        </w:rPr>
        <w:t>116</w:t>
      </w:r>
      <w:r w:rsidRPr="00D806D9">
        <w:rPr>
          <w:rFonts w:asciiTheme="majorBidi" w:eastAsia="Times New Roman" w:hAnsiTheme="majorBidi" w:cstheme="majorBidi"/>
          <w:color w:val="000000"/>
          <w:sz w:val="24"/>
          <w:szCs w:val="24"/>
          <w:lang w:val="en-US" w:eastAsia="fr-FR" w:bidi="he-IL"/>
        </w:rPr>
        <w:t xml:space="preserve">(20), 9808-9813. </w:t>
      </w:r>
      <w:hyperlink r:id="rId36" w:history="1">
        <w:r w:rsidRPr="00D806D9">
          <w:rPr>
            <w:rStyle w:val="Hyperlink"/>
            <w:rFonts w:asciiTheme="majorBidi" w:eastAsia="Times New Roman" w:hAnsiTheme="majorBidi" w:cstheme="majorBidi"/>
            <w:sz w:val="24"/>
            <w:szCs w:val="24"/>
            <w:lang w:val="en-US" w:eastAsia="fr-FR" w:bidi="he-IL"/>
          </w:rPr>
          <w:t>Link</w:t>
        </w:r>
      </w:hyperlink>
    </w:p>
    <w:p w14:paraId="57D06B3A" w14:textId="77777777" w:rsidR="00545765" w:rsidRPr="00D806D9" w:rsidRDefault="00545765" w:rsidP="00003440">
      <w:pPr>
        <w:pStyle w:val="FootnoteText"/>
        <w:jc w:val="both"/>
        <w:rPr>
          <w:rStyle w:val="Hyperlink"/>
          <w:rFonts w:asciiTheme="majorBidi" w:eastAsia="Times New Roman" w:hAnsiTheme="majorBidi" w:cstheme="majorBidi"/>
          <w:sz w:val="24"/>
          <w:szCs w:val="24"/>
          <w:lang w:val="en-US" w:eastAsia="fr-FR" w:bidi="he-IL"/>
        </w:rPr>
      </w:pPr>
    </w:p>
    <w:p w14:paraId="27A1B6F4" w14:textId="3D3AF1D4" w:rsidR="00E60725" w:rsidRPr="00D806D9" w:rsidRDefault="00E60725" w:rsidP="00003440">
      <w:pPr>
        <w:pStyle w:val="FootnoteText"/>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EBRD. (2020). </w:t>
      </w:r>
      <w:r w:rsidRPr="00D806D9">
        <w:rPr>
          <w:rFonts w:asciiTheme="majorBidi" w:eastAsia="Times New Roman" w:hAnsiTheme="majorBidi" w:cstheme="majorBidi"/>
          <w:i/>
          <w:iCs/>
          <w:color w:val="000000"/>
          <w:sz w:val="24"/>
          <w:szCs w:val="24"/>
          <w:lang w:val="en-US" w:eastAsia="fr-FR" w:bidi="he-IL"/>
        </w:rPr>
        <w:t xml:space="preserve">Methodology for the </w:t>
      </w:r>
      <w:r w:rsidR="006966A0" w:rsidRPr="00D806D9">
        <w:rPr>
          <w:rFonts w:asciiTheme="majorBidi" w:eastAsia="Times New Roman" w:hAnsiTheme="majorBidi" w:cstheme="majorBidi"/>
          <w:i/>
          <w:iCs/>
          <w:color w:val="000000"/>
          <w:sz w:val="24"/>
          <w:szCs w:val="24"/>
          <w:lang w:val="en-US" w:eastAsia="fr-FR" w:bidi="he-IL"/>
        </w:rPr>
        <w:t>E</w:t>
      </w:r>
      <w:r w:rsidRPr="00D806D9">
        <w:rPr>
          <w:rFonts w:asciiTheme="majorBidi" w:eastAsia="Times New Roman" w:hAnsiTheme="majorBidi" w:cstheme="majorBidi"/>
          <w:i/>
          <w:iCs/>
          <w:color w:val="000000"/>
          <w:sz w:val="24"/>
          <w:szCs w:val="24"/>
          <w:lang w:val="en-US" w:eastAsia="fr-FR" w:bidi="he-IL"/>
        </w:rPr>
        <w:t xml:space="preserve">conomic </w:t>
      </w:r>
      <w:r w:rsidR="006966A0" w:rsidRPr="00D806D9">
        <w:rPr>
          <w:rFonts w:asciiTheme="majorBidi" w:eastAsia="Times New Roman" w:hAnsiTheme="majorBidi" w:cstheme="majorBidi"/>
          <w:i/>
          <w:iCs/>
          <w:color w:val="000000"/>
          <w:sz w:val="24"/>
          <w:szCs w:val="24"/>
          <w:lang w:val="en-US" w:eastAsia="fr-FR" w:bidi="he-IL"/>
        </w:rPr>
        <w:t>A</w:t>
      </w:r>
      <w:r w:rsidRPr="00D806D9">
        <w:rPr>
          <w:rFonts w:asciiTheme="majorBidi" w:eastAsia="Times New Roman" w:hAnsiTheme="majorBidi" w:cstheme="majorBidi"/>
          <w:i/>
          <w:iCs/>
          <w:color w:val="000000"/>
          <w:sz w:val="24"/>
          <w:szCs w:val="24"/>
          <w:lang w:val="en-US" w:eastAsia="fr-FR" w:bidi="he-IL"/>
        </w:rPr>
        <w:t xml:space="preserve">ssessment of EBRD </w:t>
      </w:r>
      <w:r w:rsidR="006966A0" w:rsidRPr="00D806D9">
        <w:rPr>
          <w:rFonts w:asciiTheme="majorBidi" w:eastAsia="Times New Roman" w:hAnsiTheme="majorBidi" w:cstheme="majorBidi"/>
          <w:i/>
          <w:iCs/>
          <w:color w:val="000000"/>
          <w:sz w:val="24"/>
          <w:szCs w:val="24"/>
          <w:lang w:val="en-US" w:eastAsia="fr-FR" w:bidi="he-IL"/>
        </w:rPr>
        <w:t>P</w:t>
      </w:r>
      <w:r w:rsidRPr="00D806D9">
        <w:rPr>
          <w:rFonts w:asciiTheme="majorBidi" w:eastAsia="Times New Roman" w:hAnsiTheme="majorBidi" w:cstheme="majorBidi"/>
          <w:i/>
          <w:iCs/>
          <w:color w:val="000000"/>
          <w:sz w:val="24"/>
          <w:szCs w:val="24"/>
          <w:lang w:val="en-US" w:eastAsia="fr-FR" w:bidi="he-IL"/>
        </w:rPr>
        <w:t xml:space="preserve">rojects with </w:t>
      </w:r>
      <w:r w:rsidR="006966A0" w:rsidRPr="00D806D9">
        <w:rPr>
          <w:rFonts w:asciiTheme="majorBidi" w:eastAsia="Times New Roman" w:hAnsiTheme="majorBidi" w:cstheme="majorBidi"/>
          <w:i/>
          <w:iCs/>
          <w:color w:val="000000"/>
          <w:sz w:val="24"/>
          <w:szCs w:val="24"/>
          <w:lang w:val="en-US" w:eastAsia="fr-FR" w:bidi="he-IL"/>
        </w:rPr>
        <w:t>H</w:t>
      </w:r>
      <w:r w:rsidRPr="00D806D9">
        <w:rPr>
          <w:rFonts w:asciiTheme="majorBidi" w:eastAsia="Times New Roman" w:hAnsiTheme="majorBidi" w:cstheme="majorBidi"/>
          <w:i/>
          <w:iCs/>
          <w:color w:val="000000"/>
          <w:sz w:val="24"/>
          <w:szCs w:val="24"/>
          <w:lang w:val="en-US" w:eastAsia="fr-FR" w:bidi="he-IL"/>
        </w:rPr>
        <w:t xml:space="preserve">igh </w:t>
      </w:r>
      <w:r w:rsidR="006966A0" w:rsidRPr="00D806D9">
        <w:rPr>
          <w:rFonts w:asciiTheme="majorBidi" w:eastAsia="Times New Roman" w:hAnsiTheme="majorBidi" w:cstheme="majorBidi"/>
          <w:i/>
          <w:iCs/>
          <w:color w:val="000000"/>
          <w:sz w:val="24"/>
          <w:szCs w:val="24"/>
          <w:lang w:val="en-US" w:eastAsia="fr-FR" w:bidi="he-IL"/>
        </w:rPr>
        <w:t>G</w:t>
      </w:r>
      <w:r w:rsidRPr="00D806D9">
        <w:rPr>
          <w:rFonts w:asciiTheme="majorBidi" w:eastAsia="Times New Roman" w:hAnsiTheme="majorBidi" w:cstheme="majorBidi"/>
          <w:i/>
          <w:iCs/>
          <w:color w:val="000000"/>
          <w:sz w:val="24"/>
          <w:szCs w:val="24"/>
          <w:lang w:val="en-US" w:eastAsia="fr-FR" w:bidi="he-IL"/>
        </w:rPr>
        <w:t xml:space="preserve">reenhouse </w:t>
      </w:r>
      <w:r w:rsidR="006966A0" w:rsidRPr="00D806D9">
        <w:rPr>
          <w:rFonts w:asciiTheme="majorBidi" w:eastAsia="Times New Roman" w:hAnsiTheme="majorBidi" w:cstheme="majorBidi"/>
          <w:i/>
          <w:iCs/>
          <w:color w:val="000000"/>
          <w:sz w:val="24"/>
          <w:szCs w:val="24"/>
          <w:lang w:val="en-US" w:eastAsia="fr-FR" w:bidi="he-IL"/>
        </w:rPr>
        <w:t>G</w:t>
      </w:r>
      <w:r w:rsidRPr="00D806D9">
        <w:rPr>
          <w:rFonts w:asciiTheme="majorBidi" w:eastAsia="Times New Roman" w:hAnsiTheme="majorBidi" w:cstheme="majorBidi"/>
          <w:i/>
          <w:iCs/>
          <w:color w:val="000000"/>
          <w:sz w:val="24"/>
          <w:szCs w:val="24"/>
          <w:lang w:val="en-US" w:eastAsia="fr-FR" w:bidi="he-IL"/>
        </w:rPr>
        <w:t xml:space="preserve">as </w:t>
      </w:r>
      <w:r w:rsidR="006966A0" w:rsidRPr="00D806D9">
        <w:rPr>
          <w:rFonts w:asciiTheme="majorBidi" w:eastAsia="Times New Roman" w:hAnsiTheme="majorBidi" w:cstheme="majorBidi"/>
          <w:i/>
          <w:iCs/>
          <w:color w:val="000000"/>
          <w:sz w:val="24"/>
          <w:szCs w:val="24"/>
          <w:lang w:val="en-US" w:eastAsia="fr-FR" w:bidi="he-IL"/>
        </w:rPr>
        <w:t>E</w:t>
      </w:r>
      <w:r w:rsidRPr="00D806D9">
        <w:rPr>
          <w:rFonts w:asciiTheme="majorBidi" w:eastAsia="Times New Roman" w:hAnsiTheme="majorBidi" w:cstheme="majorBidi"/>
          <w:i/>
          <w:iCs/>
          <w:color w:val="000000"/>
          <w:sz w:val="24"/>
          <w:szCs w:val="24"/>
          <w:lang w:val="en-US" w:eastAsia="fr-FR" w:bidi="he-IL"/>
        </w:rPr>
        <w:t>missions – Technical note</w:t>
      </w:r>
      <w:r w:rsidRPr="00D806D9">
        <w:rPr>
          <w:rFonts w:asciiTheme="majorBidi" w:eastAsia="Times New Roman" w:hAnsiTheme="majorBidi" w:cstheme="majorBidi"/>
          <w:color w:val="000000"/>
          <w:sz w:val="24"/>
          <w:szCs w:val="24"/>
          <w:lang w:val="en-US" w:eastAsia="fr-FR" w:bidi="he-IL"/>
        </w:rPr>
        <w:t>.</w:t>
      </w:r>
      <w:r w:rsidR="00003440" w:rsidRPr="00D806D9">
        <w:rPr>
          <w:rFonts w:asciiTheme="majorBidi" w:eastAsia="Times New Roman" w:hAnsiTheme="majorBidi" w:cstheme="majorBidi"/>
          <w:color w:val="000000"/>
          <w:sz w:val="24"/>
          <w:szCs w:val="24"/>
          <w:lang w:val="en-US" w:eastAsia="fr-FR" w:bidi="he-IL"/>
        </w:rPr>
        <w:t xml:space="preserve"> </w:t>
      </w:r>
      <w:hyperlink r:id="rId37" w:history="1">
        <w:r w:rsidR="00003440" w:rsidRPr="00D806D9">
          <w:rPr>
            <w:rStyle w:val="Hyperlink"/>
            <w:rFonts w:asciiTheme="majorBidi" w:eastAsia="Times New Roman" w:hAnsiTheme="majorBidi" w:cstheme="majorBidi"/>
            <w:sz w:val="24"/>
            <w:szCs w:val="24"/>
            <w:lang w:val="en-US" w:eastAsia="fr-FR" w:bidi="he-IL"/>
          </w:rPr>
          <w:t>Link</w:t>
        </w:r>
      </w:hyperlink>
    </w:p>
    <w:p w14:paraId="4CD55460" w14:textId="77777777" w:rsidR="00A82ED7" w:rsidRPr="00D806D9" w:rsidRDefault="00A82ED7" w:rsidP="00003440">
      <w:pPr>
        <w:pStyle w:val="FootnoteText"/>
        <w:jc w:val="both"/>
        <w:rPr>
          <w:rFonts w:asciiTheme="majorBidi" w:eastAsia="Times New Roman" w:hAnsiTheme="majorBidi" w:cstheme="majorBidi"/>
          <w:color w:val="000000"/>
          <w:sz w:val="24"/>
          <w:szCs w:val="24"/>
          <w:lang w:val="en-US" w:eastAsia="fr-FR" w:bidi="he-IL"/>
        </w:rPr>
      </w:pPr>
    </w:p>
    <w:p w14:paraId="01F46FD5" w14:textId="2F12CE47"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eastAsia="Times New Roman" w:hAnsiTheme="majorBidi" w:cstheme="majorBidi"/>
          <w:color w:val="000000"/>
          <w:sz w:val="24"/>
          <w:szCs w:val="24"/>
          <w:lang w:val="en-US" w:eastAsia="fr-FR" w:bidi="he-IL"/>
        </w:rPr>
        <w:t>EC, n.d. Market Stability Reserve.</w:t>
      </w:r>
      <w:r w:rsidRPr="00D806D9">
        <w:rPr>
          <w:rFonts w:asciiTheme="majorBidi" w:hAnsiTheme="majorBidi" w:cstheme="majorBidi"/>
          <w:sz w:val="24"/>
          <w:szCs w:val="24"/>
          <w:lang w:val="en-US"/>
        </w:rPr>
        <w:t xml:space="preserve"> </w:t>
      </w:r>
      <w:hyperlink r:id="rId38" w:anchor=":~:text=The%20reserve%3A,of%20allowances%20to%20be%20auctioned." w:history="1">
        <w:r w:rsidRPr="00D806D9">
          <w:rPr>
            <w:rStyle w:val="Hyperlink"/>
            <w:rFonts w:asciiTheme="majorBidi" w:hAnsiTheme="majorBidi" w:cstheme="majorBidi"/>
            <w:sz w:val="24"/>
            <w:szCs w:val="24"/>
            <w:lang w:val="en-US"/>
          </w:rPr>
          <w:t>Link</w:t>
        </w:r>
      </w:hyperlink>
    </w:p>
    <w:p w14:paraId="7F8046BE" w14:textId="77777777" w:rsidR="00A82ED7" w:rsidRPr="00D806D9" w:rsidRDefault="00A82ED7" w:rsidP="00003440">
      <w:pPr>
        <w:pStyle w:val="FootnoteText"/>
        <w:jc w:val="both"/>
        <w:rPr>
          <w:rStyle w:val="Hyperlink"/>
          <w:rFonts w:asciiTheme="majorBidi" w:hAnsiTheme="majorBidi" w:cstheme="majorBidi"/>
          <w:sz w:val="24"/>
          <w:szCs w:val="24"/>
          <w:lang w:val="en-US"/>
        </w:rPr>
      </w:pPr>
    </w:p>
    <w:p w14:paraId="1972F2E8" w14:textId="7726D5C4" w:rsidR="00E60725" w:rsidRPr="00D806D9" w:rsidRDefault="00E60725" w:rsidP="00003440">
      <w:pPr>
        <w:pStyle w:val="FootnoteText"/>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EC, n.d./b. EU Emissions Trading System (EU ETS). </w:t>
      </w:r>
      <w:hyperlink r:id="rId39" w:history="1">
        <w:r w:rsidRPr="00D806D9">
          <w:rPr>
            <w:rStyle w:val="Hyperlink"/>
            <w:rFonts w:asciiTheme="majorBidi" w:eastAsia="Times New Roman" w:hAnsiTheme="majorBidi" w:cstheme="majorBidi"/>
            <w:sz w:val="24"/>
            <w:szCs w:val="24"/>
            <w:lang w:val="en-US" w:eastAsia="fr-FR" w:bidi="he-IL"/>
          </w:rPr>
          <w:t>Link</w:t>
        </w:r>
      </w:hyperlink>
      <w:r w:rsidRPr="00D806D9">
        <w:rPr>
          <w:rFonts w:asciiTheme="majorBidi" w:eastAsia="Times New Roman" w:hAnsiTheme="majorBidi" w:cstheme="majorBidi"/>
          <w:color w:val="000000"/>
          <w:sz w:val="24"/>
          <w:szCs w:val="24"/>
          <w:lang w:val="en-US" w:eastAsia="fr-FR" w:bidi="he-IL"/>
        </w:rPr>
        <w:t xml:space="preserve"> </w:t>
      </w:r>
    </w:p>
    <w:p w14:paraId="27E3AC07" w14:textId="77777777" w:rsidR="00A82ED7" w:rsidRPr="00D806D9" w:rsidRDefault="00A82ED7" w:rsidP="00003440">
      <w:pPr>
        <w:pStyle w:val="FootnoteText"/>
        <w:jc w:val="both"/>
        <w:rPr>
          <w:rFonts w:asciiTheme="majorBidi" w:eastAsia="Times New Roman" w:hAnsiTheme="majorBidi" w:cstheme="majorBidi"/>
          <w:color w:val="000000"/>
          <w:sz w:val="24"/>
          <w:szCs w:val="24"/>
          <w:lang w:val="en-US" w:eastAsia="fr-FR" w:bidi="he-IL"/>
        </w:rPr>
      </w:pPr>
    </w:p>
    <w:p w14:paraId="1DBC1BAC" w14:textId="5254E7D0" w:rsidR="00D931C6" w:rsidRPr="00D806D9" w:rsidRDefault="00E60725" w:rsidP="00D931C6">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EC. (2008). </w:t>
      </w:r>
      <w:r w:rsidRPr="00D806D9">
        <w:rPr>
          <w:rFonts w:asciiTheme="majorBidi" w:eastAsia="Times New Roman" w:hAnsiTheme="majorBidi" w:cstheme="majorBidi"/>
          <w:i/>
          <w:iCs/>
          <w:color w:val="000000"/>
          <w:sz w:val="24"/>
          <w:szCs w:val="24"/>
          <w:lang w:val="en-US" w:eastAsia="fr-FR" w:bidi="he-IL"/>
        </w:rPr>
        <w:t>Directive 2008/101/EC Amending Directive 2003/87/EC so as to Include Aviation Activities in the Scheme for Greenhouse Gas Emission Allowance Trading within the Community</w:t>
      </w:r>
      <w:r w:rsidRPr="00D806D9">
        <w:rPr>
          <w:rFonts w:asciiTheme="majorBidi" w:eastAsia="Times New Roman" w:hAnsiTheme="majorBidi" w:cstheme="majorBidi"/>
          <w:color w:val="000000"/>
          <w:sz w:val="24"/>
          <w:szCs w:val="24"/>
          <w:lang w:val="en-US" w:eastAsia="fr-FR" w:bidi="he-IL"/>
        </w:rPr>
        <w:t xml:space="preserve">. </w:t>
      </w:r>
      <w:r w:rsidR="00D931C6" w:rsidRPr="00D806D9">
        <w:rPr>
          <w:rFonts w:asciiTheme="majorBidi" w:hAnsiTheme="majorBidi" w:cstheme="majorBidi"/>
          <w:sz w:val="24"/>
          <w:szCs w:val="24"/>
          <w:lang w:val="en-US"/>
        </w:rPr>
        <w:t>Official Journal of the European Union</w:t>
      </w:r>
      <w:r w:rsidR="00D931C6" w:rsidRPr="00D806D9">
        <w:rPr>
          <w:rFonts w:asciiTheme="majorBidi" w:eastAsia="Times New Roman" w:hAnsiTheme="majorBidi" w:cstheme="majorBidi"/>
          <w:color w:val="000000"/>
          <w:sz w:val="24"/>
          <w:szCs w:val="24"/>
          <w:lang w:val="en-US" w:eastAsia="fr-FR" w:bidi="he-IL"/>
        </w:rPr>
        <w:t xml:space="preserve">. </w:t>
      </w:r>
      <w:hyperlink r:id="rId40" w:history="1">
        <w:r w:rsidR="00D931C6" w:rsidRPr="00D806D9">
          <w:rPr>
            <w:rStyle w:val="Hyperlink"/>
            <w:rFonts w:asciiTheme="majorBidi" w:eastAsia="Times New Roman" w:hAnsiTheme="majorBidi" w:cstheme="majorBidi"/>
            <w:sz w:val="24"/>
            <w:szCs w:val="24"/>
            <w:lang w:val="en-US" w:eastAsia="fr-FR" w:bidi="he-IL"/>
          </w:rPr>
          <w:t>Link</w:t>
        </w:r>
      </w:hyperlink>
    </w:p>
    <w:p w14:paraId="0EC9F420" w14:textId="77777777" w:rsidR="00D931C6" w:rsidRPr="00D806D9" w:rsidRDefault="00D931C6" w:rsidP="00D931C6">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
    <w:p w14:paraId="4CA154AC" w14:textId="4CE7A2B9" w:rsidR="00003440" w:rsidRPr="00D806D9" w:rsidRDefault="00E60725" w:rsidP="00D931C6">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eastAsia="Times New Roman" w:hAnsiTheme="majorBidi" w:cstheme="majorBidi"/>
          <w:color w:val="000000"/>
          <w:sz w:val="24"/>
          <w:szCs w:val="24"/>
          <w:lang w:val="en-US" w:eastAsia="fr-FR" w:bidi="he-IL"/>
        </w:rPr>
        <w:lastRenderedPageBreak/>
        <w:t xml:space="preserve">EC. (2009). </w:t>
      </w:r>
      <w:r w:rsidRPr="00D806D9">
        <w:rPr>
          <w:rFonts w:asciiTheme="majorBidi" w:eastAsia="Times New Roman" w:hAnsiTheme="majorBidi" w:cstheme="majorBidi"/>
          <w:i/>
          <w:iCs/>
          <w:color w:val="000000"/>
          <w:sz w:val="24"/>
          <w:szCs w:val="24"/>
          <w:lang w:val="en-US" w:eastAsia="fr-FR" w:bidi="he-IL"/>
        </w:rPr>
        <w:t>Directive 2009/29/EC Amending Directive 2003/87/EC so as to Improve and Extend the Greenhouse Gas Emission Allowance Trading Scheme of the Community</w:t>
      </w:r>
      <w:r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hAnsiTheme="majorBidi" w:cstheme="majorBidi"/>
          <w:sz w:val="24"/>
          <w:szCs w:val="24"/>
          <w:lang w:val="en-US"/>
        </w:rPr>
        <w:t>Official Journal of the European Union.</w:t>
      </w:r>
      <w:r w:rsidR="00D931C6" w:rsidRPr="00D806D9">
        <w:rPr>
          <w:rFonts w:asciiTheme="majorBidi" w:hAnsiTheme="majorBidi" w:cstheme="majorBidi"/>
          <w:sz w:val="24"/>
          <w:szCs w:val="24"/>
          <w:lang w:val="en-US"/>
        </w:rPr>
        <w:t xml:space="preserve"> </w:t>
      </w:r>
      <w:hyperlink r:id="rId41" w:history="1">
        <w:r w:rsidR="00D931C6" w:rsidRPr="00D806D9">
          <w:rPr>
            <w:rStyle w:val="Hyperlink"/>
            <w:rFonts w:asciiTheme="majorBidi" w:hAnsiTheme="majorBidi" w:cstheme="majorBidi"/>
            <w:sz w:val="24"/>
            <w:szCs w:val="24"/>
            <w:lang w:val="en-US"/>
          </w:rPr>
          <w:t>Link</w:t>
        </w:r>
      </w:hyperlink>
    </w:p>
    <w:p w14:paraId="6421D6B4" w14:textId="77777777" w:rsidR="00003440" w:rsidRPr="00D806D9" w:rsidRDefault="00003440" w:rsidP="00003440">
      <w:pPr>
        <w:autoSpaceDE w:val="0"/>
        <w:autoSpaceDN w:val="0"/>
        <w:adjustRightInd w:val="0"/>
        <w:spacing w:after="0" w:line="240" w:lineRule="auto"/>
        <w:jc w:val="both"/>
        <w:rPr>
          <w:rFonts w:asciiTheme="majorBidi" w:hAnsiTheme="majorBidi" w:cstheme="majorBidi"/>
          <w:sz w:val="24"/>
          <w:szCs w:val="24"/>
          <w:lang w:val="en-US"/>
        </w:rPr>
      </w:pPr>
    </w:p>
    <w:p w14:paraId="6F7EE803" w14:textId="45A1E912" w:rsidR="00E60725" w:rsidRPr="00D806D9" w:rsidRDefault="00E60725" w:rsidP="00003440">
      <w:pPr>
        <w:pStyle w:val="title-bold"/>
        <w:shd w:val="clear" w:color="auto" w:fill="FFFFFF"/>
        <w:spacing w:before="0" w:beforeAutospacing="0" w:after="0" w:afterAutospacing="0"/>
        <w:jc w:val="both"/>
        <w:rPr>
          <w:rStyle w:val="Hyperlink"/>
          <w:rFonts w:asciiTheme="majorBidi" w:hAnsiTheme="majorBidi" w:cstheme="majorBidi"/>
          <w:lang w:val="en-US"/>
        </w:rPr>
      </w:pPr>
      <w:r w:rsidRPr="00D806D9">
        <w:rPr>
          <w:rFonts w:asciiTheme="majorBidi" w:hAnsiTheme="majorBidi" w:cstheme="majorBidi"/>
          <w:color w:val="000000"/>
          <w:lang w:val="en-US"/>
        </w:rPr>
        <w:t xml:space="preserve">EC. (2011). </w:t>
      </w:r>
      <w:r w:rsidRPr="00D806D9">
        <w:rPr>
          <w:rFonts w:asciiTheme="majorBidi" w:eastAsiaTheme="minorHAnsi" w:hAnsiTheme="majorBidi" w:cstheme="majorBidi"/>
          <w:i/>
          <w:iCs/>
          <w:color w:val="000000"/>
          <w:lang w:val="en-US" w:eastAsia="en-US"/>
        </w:rPr>
        <w:t>Commission Regulation (EU) No 1210/2011 of 23 November 2011 amending Regulation (EU) No 1031/2010 in particular to determine the volume of greenhouse gas emission allowances to be auctioned prior to 2013.</w:t>
      </w:r>
      <w:r w:rsidR="00D931C6" w:rsidRPr="00D806D9">
        <w:rPr>
          <w:rFonts w:asciiTheme="majorBidi" w:eastAsiaTheme="minorHAnsi" w:hAnsiTheme="majorBidi" w:cstheme="majorBidi"/>
          <w:i/>
          <w:iCs/>
          <w:color w:val="000000"/>
          <w:lang w:val="en-US" w:eastAsia="en-US"/>
        </w:rPr>
        <w:t xml:space="preserve"> </w:t>
      </w:r>
      <w:r w:rsidRPr="00D806D9">
        <w:rPr>
          <w:rFonts w:asciiTheme="majorBidi" w:eastAsiaTheme="minorHAnsi" w:hAnsiTheme="majorBidi" w:cstheme="majorBidi"/>
          <w:lang w:val="en-US" w:eastAsia="en-US"/>
        </w:rPr>
        <w:t>Official Journal of the European Union</w:t>
      </w:r>
      <w:r w:rsidRPr="00D806D9">
        <w:rPr>
          <w:rFonts w:asciiTheme="majorBidi" w:hAnsiTheme="majorBidi" w:cstheme="majorBidi"/>
          <w:lang w:val="en-US"/>
        </w:rPr>
        <w:t xml:space="preserve">. </w:t>
      </w:r>
      <w:hyperlink r:id="rId42" w:history="1">
        <w:r w:rsidRPr="00D806D9">
          <w:rPr>
            <w:rStyle w:val="Hyperlink"/>
            <w:rFonts w:asciiTheme="majorBidi" w:hAnsiTheme="majorBidi" w:cstheme="majorBidi"/>
            <w:lang w:val="en-US"/>
          </w:rPr>
          <w:t>Link</w:t>
        </w:r>
      </w:hyperlink>
    </w:p>
    <w:p w14:paraId="294569E1" w14:textId="77777777" w:rsidR="00003440" w:rsidRPr="00D806D9" w:rsidRDefault="00003440" w:rsidP="00003440">
      <w:pPr>
        <w:pStyle w:val="title-bold"/>
        <w:shd w:val="clear" w:color="auto" w:fill="FFFFFF"/>
        <w:spacing w:before="0" w:beforeAutospacing="0" w:after="0" w:afterAutospacing="0"/>
        <w:jc w:val="both"/>
        <w:rPr>
          <w:rFonts w:asciiTheme="majorBidi" w:hAnsiTheme="majorBidi" w:cstheme="majorBidi"/>
          <w:lang w:val="en-US"/>
        </w:rPr>
      </w:pPr>
    </w:p>
    <w:p w14:paraId="7297A32A" w14:textId="6FE90C99" w:rsidR="00E60725" w:rsidRPr="00D806D9" w:rsidRDefault="00E60725" w:rsidP="00003440">
      <w:pPr>
        <w:pStyle w:val="Default"/>
        <w:jc w:val="both"/>
        <w:rPr>
          <w:rStyle w:val="Hyperlink"/>
          <w:rFonts w:asciiTheme="majorBidi" w:hAnsiTheme="majorBidi" w:cstheme="majorBidi"/>
          <w:lang w:val="en-US"/>
        </w:rPr>
      </w:pPr>
      <w:r w:rsidRPr="00D806D9">
        <w:rPr>
          <w:rFonts w:asciiTheme="majorBidi" w:hAnsiTheme="majorBidi" w:cstheme="majorBidi"/>
          <w:lang w:val="en-US"/>
        </w:rPr>
        <w:t xml:space="preserve">EC. (2012). </w:t>
      </w:r>
      <w:r w:rsidRPr="00D806D9">
        <w:rPr>
          <w:rFonts w:asciiTheme="majorBidi" w:hAnsiTheme="majorBidi" w:cstheme="majorBidi"/>
          <w:i/>
          <w:iCs/>
          <w:lang w:val="en-US"/>
        </w:rPr>
        <w:t>Report from the Commission to the European Parliament and the Council - The State of the European Carbon Market in 2012</w:t>
      </w:r>
      <w:r w:rsidRPr="00D806D9">
        <w:rPr>
          <w:rFonts w:asciiTheme="majorBidi" w:hAnsiTheme="majorBidi" w:cstheme="majorBidi"/>
          <w:lang w:val="en-US"/>
        </w:rPr>
        <w:t>. COM(2012) 652 final.</w:t>
      </w:r>
      <w:r w:rsidR="009062A9" w:rsidRPr="00D806D9">
        <w:rPr>
          <w:rFonts w:asciiTheme="majorBidi" w:hAnsiTheme="majorBidi" w:cstheme="majorBidi"/>
          <w:lang w:val="en-US"/>
        </w:rPr>
        <w:t xml:space="preserve"> Official Journal of the European Union.</w:t>
      </w:r>
      <w:r w:rsidRPr="00D806D9">
        <w:rPr>
          <w:rFonts w:asciiTheme="majorBidi" w:hAnsiTheme="majorBidi" w:cstheme="majorBidi"/>
          <w:lang w:val="en-US"/>
        </w:rPr>
        <w:t xml:space="preserve"> </w:t>
      </w:r>
      <w:hyperlink r:id="rId43" w:history="1">
        <w:r w:rsidRPr="00D806D9">
          <w:rPr>
            <w:rStyle w:val="Hyperlink"/>
            <w:rFonts w:asciiTheme="majorBidi" w:hAnsiTheme="majorBidi" w:cstheme="majorBidi"/>
            <w:lang w:val="en-US"/>
          </w:rPr>
          <w:t>Link</w:t>
        </w:r>
      </w:hyperlink>
    </w:p>
    <w:p w14:paraId="5D485A99" w14:textId="77777777" w:rsidR="00003440" w:rsidRPr="00D806D9" w:rsidRDefault="00003440" w:rsidP="00003440">
      <w:pPr>
        <w:pStyle w:val="Default"/>
        <w:jc w:val="both"/>
        <w:rPr>
          <w:rStyle w:val="Hyperlink"/>
          <w:rFonts w:asciiTheme="majorBidi" w:hAnsiTheme="majorBidi" w:cstheme="majorBidi"/>
          <w:lang w:val="en-US"/>
        </w:rPr>
      </w:pPr>
    </w:p>
    <w:p w14:paraId="3E5B67A3" w14:textId="07B92DAD" w:rsidR="00E60725" w:rsidRPr="00D806D9" w:rsidRDefault="00E60725" w:rsidP="00003440">
      <w:pPr>
        <w:pStyle w:val="Default"/>
        <w:jc w:val="both"/>
        <w:rPr>
          <w:rStyle w:val="Hyperlink"/>
          <w:rFonts w:asciiTheme="majorBidi" w:hAnsiTheme="majorBidi" w:cstheme="majorBidi"/>
          <w:lang w:val="en-US"/>
        </w:rPr>
      </w:pPr>
      <w:r w:rsidRPr="00D806D9">
        <w:rPr>
          <w:rFonts w:asciiTheme="majorBidi" w:hAnsiTheme="majorBidi" w:cstheme="majorBidi"/>
          <w:lang w:val="en-US"/>
        </w:rPr>
        <w:t xml:space="preserve">EC. (2013). </w:t>
      </w:r>
      <w:r w:rsidRPr="00D806D9">
        <w:rPr>
          <w:rFonts w:asciiTheme="majorBidi" w:hAnsiTheme="majorBidi" w:cstheme="majorBidi"/>
          <w:i/>
          <w:iCs/>
          <w:lang w:val="en-US"/>
        </w:rPr>
        <w:t>Commission Regulation (EU) No 389/2013 of 2 May 2013 establishing a Union Registry pursuant to Directive 2003/87/EC of the European Parliament and of the Council, Decisions No 280/2004/EC and No 406/2009/EC of the European Parliament and of the Council and repealing Commission Regulations (EU) No 920/2010 and No 1193/2011</w:t>
      </w:r>
      <w:r w:rsidRPr="00D806D9">
        <w:rPr>
          <w:rFonts w:asciiTheme="majorBidi" w:hAnsiTheme="majorBidi" w:cstheme="majorBidi"/>
          <w:lang w:val="en-US"/>
        </w:rPr>
        <w:t xml:space="preserve">. Official Journal of the European Union. </w:t>
      </w:r>
      <w:hyperlink r:id="rId44" w:history="1">
        <w:r w:rsidRPr="00D806D9">
          <w:rPr>
            <w:rStyle w:val="Hyperlink"/>
            <w:rFonts w:asciiTheme="majorBidi" w:hAnsiTheme="majorBidi" w:cstheme="majorBidi"/>
            <w:lang w:val="en-US"/>
          </w:rPr>
          <w:t>Link</w:t>
        </w:r>
      </w:hyperlink>
    </w:p>
    <w:p w14:paraId="18762CEA" w14:textId="77777777" w:rsidR="00003440" w:rsidRPr="00D806D9" w:rsidRDefault="00003440" w:rsidP="00003440">
      <w:pPr>
        <w:pStyle w:val="Default"/>
        <w:jc w:val="both"/>
        <w:rPr>
          <w:rFonts w:asciiTheme="majorBidi" w:hAnsiTheme="majorBidi" w:cstheme="majorBidi"/>
          <w:lang w:val="en-US"/>
        </w:rPr>
      </w:pPr>
    </w:p>
    <w:p w14:paraId="53A3A8E9" w14:textId="5A9548BC" w:rsidR="00E60725" w:rsidRPr="00D806D9" w:rsidRDefault="00E60725" w:rsidP="00003440">
      <w:pPr>
        <w:pStyle w:val="title-bold"/>
        <w:shd w:val="clear" w:color="auto" w:fill="FFFFFF"/>
        <w:spacing w:before="0" w:beforeAutospacing="0" w:after="0" w:afterAutospacing="0"/>
        <w:jc w:val="both"/>
        <w:rPr>
          <w:rStyle w:val="Hyperlink"/>
          <w:rFonts w:asciiTheme="majorBidi" w:hAnsiTheme="majorBidi" w:cstheme="majorBidi"/>
          <w:lang w:val="en-US"/>
        </w:rPr>
      </w:pPr>
      <w:r w:rsidRPr="00D806D9">
        <w:rPr>
          <w:rFonts w:asciiTheme="majorBidi" w:hAnsiTheme="majorBidi" w:cstheme="majorBidi"/>
          <w:color w:val="000000"/>
          <w:lang w:val="en-US"/>
        </w:rPr>
        <w:t xml:space="preserve">EC. (2014). </w:t>
      </w:r>
      <w:r w:rsidRPr="00D806D9">
        <w:rPr>
          <w:rFonts w:asciiTheme="majorBidi" w:eastAsiaTheme="minorHAnsi" w:hAnsiTheme="majorBidi" w:cstheme="majorBidi"/>
          <w:i/>
          <w:iCs/>
          <w:color w:val="000000"/>
          <w:lang w:val="en-US" w:eastAsia="en-US"/>
        </w:rPr>
        <w:t>Commission Regulation (EU) No 176/2014 of 25 February 2014 amending Regulation (EU) No 1031/2010 in particular to determine the volumes of greenhouse gas emission allowances to be auctioned in 2013-20.</w:t>
      </w:r>
      <w:r w:rsidRPr="00D806D9">
        <w:rPr>
          <w:rFonts w:asciiTheme="majorBidi" w:eastAsiaTheme="minorHAnsi" w:hAnsiTheme="majorBidi" w:cstheme="majorBidi"/>
          <w:color w:val="000000"/>
          <w:lang w:val="en-US" w:eastAsia="en-US"/>
        </w:rPr>
        <w:t xml:space="preserve"> </w:t>
      </w:r>
      <w:r w:rsidRPr="00D806D9">
        <w:rPr>
          <w:rFonts w:asciiTheme="majorBidi" w:eastAsiaTheme="minorHAnsi" w:hAnsiTheme="majorBidi" w:cstheme="majorBidi"/>
          <w:lang w:val="en-US" w:eastAsia="en-US"/>
        </w:rPr>
        <w:t>Official Journal of the European Union</w:t>
      </w:r>
      <w:r w:rsidRPr="00D806D9">
        <w:rPr>
          <w:rFonts w:asciiTheme="majorBidi" w:hAnsiTheme="majorBidi" w:cstheme="majorBidi"/>
          <w:lang w:val="en-US"/>
        </w:rPr>
        <w:t xml:space="preserve">. </w:t>
      </w:r>
      <w:hyperlink r:id="rId45" w:history="1">
        <w:r w:rsidRPr="00D806D9">
          <w:rPr>
            <w:rStyle w:val="Hyperlink"/>
            <w:rFonts w:asciiTheme="majorBidi" w:hAnsiTheme="majorBidi" w:cstheme="majorBidi"/>
            <w:lang w:val="en-US"/>
          </w:rPr>
          <w:t>Link</w:t>
        </w:r>
      </w:hyperlink>
    </w:p>
    <w:p w14:paraId="59774AFC" w14:textId="77777777" w:rsidR="00003440" w:rsidRPr="00D806D9" w:rsidRDefault="00003440" w:rsidP="00003440">
      <w:pPr>
        <w:pStyle w:val="title-bold"/>
        <w:shd w:val="clear" w:color="auto" w:fill="FFFFFF"/>
        <w:spacing w:before="0" w:beforeAutospacing="0" w:after="0" w:afterAutospacing="0"/>
        <w:jc w:val="both"/>
        <w:rPr>
          <w:rFonts w:asciiTheme="majorBidi" w:hAnsiTheme="majorBidi" w:cstheme="majorBidi"/>
          <w:color w:val="000000"/>
          <w:lang w:val="en-US"/>
        </w:rPr>
      </w:pPr>
    </w:p>
    <w:p w14:paraId="4893E489" w14:textId="508493D7" w:rsidR="00E60725" w:rsidRPr="00D806D9" w:rsidRDefault="00E60725" w:rsidP="00003440">
      <w:pPr>
        <w:pStyle w:val="title-bold"/>
        <w:shd w:val="clear" w:color="auto" w:fill="FFFFFF"/>
        <w:spacing w:before="0" w:beforeAutospacing="0" w:after="0" w:afterAutospacing="0"/>
        <w:jc w:val="both"/>
        <w:rPr>
          <w:rStyle w:val="Hyperlink"/>
          <w:rFonts w:asciiTheme="majorBidi" w:hAnsiTheme="majorBidi" w:cstheme="majorBidi"/>
          <w:lang w:val="en-US"/>
        </w:rPr>
      </w:pPr>
      <w:r w:rsidRPr="00D806D9">
        <w:rPr>
          <w:rFonts w:asciiTheme="majorBidi" w:hAnsiTheme="majorBidi" w:cstheme="majorBidi"/>
          <w:lang w:val="en-US"/>
        </w:rPr>
        <w:t xml:space="preserve">EC. (2019a). </w:t>
      </w:r>
      <w:r w:rsidRPr="00D806D9">
        <w:rPr>
          <w:rFonts w:asciiTheme="majorBidi" w:hAnsiTheme="majorBidi" w:cstheme="majorBidi"/>
          <w:i/>
          <w:iCs/>
          <w:lang w:val="en-US"/>
        </w:rPr>
        <w:t>Fossil CO2 and GHG emissions of all world countries : 2019 report</w:t>
      </w:r>
      <w:r w:rsidRPr="00D806D9">
        <w:rPr>
          <w:rFonts w:asciiTheme="majorBidi" w:hAnsiTheme="majorBidi" w:cstheme="majorBidi"/>
          <w:lang w:val="en-US"/>
        </w:rPr>
        <w:t xml:space="preserve">. Joint Research Centre, Publications Office. </w:t>
      </w:r>
      <w:hyperlink r:id="rId46" w:history="1">
        <w:r w:rsidRPr="00D806D9">
          <w:rPr>
            <w:rStyle w:val="Hyperlink"/>
            <w:rFonts w:asciiTheme="majorBidi" w:hAnsiTheme="majorBidi" w:cstheme="majorBidi"/>
            <w:lang w:val="en-US"/>
          </w:rPr>
          <w:t>Link</w:t>
        </w:r>
      </w:hyperlink>
    </w:p>
    <w:p w14:paraId="09288756" w14:textId="77777777" w:rsidR="00003440" w:rsidRPr="00D806D9" w:rsidRDefault="00003440" w:rsidP="00003440">
      <w:pPr>
        <w:pStyle w:val="title-bold"/>
        <w:shd w:val="clear" w:color="auto" w:fill="FFFFFF"/>
        <w:spacing w:before="0" w:beforeAutospacing="0" w:after="0" w:afterAutospacing="0"/>
        <w:jc w:val="both"/>
        <w:rPr>
          <w:rStyle w:val="Hyperlink"/>
          <w:rFonts w:asciiTheme="majorBidi" w:hAnsiTheme="majorBidi" w:cstheme="majorBidi"/>
          <w:lang w:val="en-US"/>
        </w:rPr>
      </w:pPr>
    </w:p>
    <w:p w14:paraId="6CB33934" w14:textId="72DC94C1" w:rsidR="00E60725" w:rsidRPr="00D806D9" w:rsidRDefault="00E60725" w:rsidP="00003440">
      <w:pPr>
        <w:pStyle w:val="Default"/>
        <w:jc w:val="both"/>
        <w:rPr>
          <w:rStyle w:val="Hyperlink"/>
          <w:rFonts w:asciiTheme="majorBidi" w:hAnsiTheme="majorBidi" w:cstheme="majorBidi"/>
          <w:lang w:val="en-US"/>
        </w:rPr>
      </w:pPr>
      <w:r w:rsidRPr="00D806D9">
        <w:rPr>
          <w:rFonts w:asciiTheme="majorBidi" w:hAnsiTheme="majorBidi" w:cstheme="majorBidi"/>
          <w:lang w:val="en-US"/>
        </w:rPr>
        <w:t xml:space="preserve">EC. (2019b). </w:t>
      </w:r>
      <w:r w:rsidRPr="00D806D9">
        <w:rPr>
          <w:rFonts w:asciiTheme="majorBidi" w:hAnsiTheme="majorBidi" w:cstheme="majorBidi"/>
          <w:i/>
          <w:iCs/>
          <w:lang w:val="en-US"/>
        </w:rPr>
        <w:t xml:space="preserve">Communication From the Commission to the European Parliament, the European Council, the Council, the European Economic and Social Committee and the Committee of the Regions - The European Green Deal. </w:t>
      </w:r>
      <w:r w:rsidRPr="00D806D9">
        <w:rPr>
          <w:rFonts w:asciiTheme="majorBidi" w:hAnsiTheme="majorBidi" w:cstheme="majorBidi"/>
          <w:lang w:val="en-US"/>
        </w:rPr>
        <w:t xml:space="preserve">Official Journal of the European Union. </w:t>
      </w:r>
      <w:hyperlink r:id="rId47" w:history="1">
        <w:r w:rsidRPr="00D806D9">
          <w:rPr>
            <w:rStyle w:val="Hyperlink"/>
            <w:rFonts w:asciiTheme="majorBidi" w:hAnsiTheme="majorBidi" w:cstheme="majorBidi"/>
            <w:lang w:val="en-US"/>
          </w:rPr>
          <w:t>Link</w:t>
        </w:r>
      </w:hyperlink>
    </w:p>
    <w:p w14:paraId="134397E4" w14:textId="2326CF56" w:rsidR="00003440" w:rsidRPr="00D806D9" w:rsidRDefault="00003440" w:rsidP="00003440">
      <w:pPr>
        <w:pStyle w:val="Default"/>
        <w:jc w:val="both"/>
        <w:rPr>
          <w:rStyle w:val="Hyperlink"/>
          <w:rFonts w:asciiTheme="majorBidi" w:hAnsiTheme="majorBidi" w:cstheme="majorBidi"/>
          <w:lang w:val="en-US"/>
        </w:rPr>
      </w:pPr>
    </w:p>
    <w:p w14:paraId="32A66D23" w14:textId="3FC6B42F" w:rsidR="00E60725" w:rsidRPr="00D806D9" w:rsidRDefault="00E60725" w:rsidP="00003440">
      <w:pPr>
        <w:pStyle w:val="Default"/>
        <w:jc w:val="both"/>
        <w:rPr>
          <w:rStyle w:val="Hyperlink"/>
          <w:rFonts w:asciiTheme="majorBidi" w:hAnsiTheme="majorBidi" w:cstheme="majorBidi"/>
          <w:lang w:val="en-US"/>
        </w:rPr>
      </w:pPr>
      <w:r w:rsidRPr="00D806D9">
        <w:rPr>
          <w:rFonts w:asciiTheme="majorBidi" w:hAnsiTheme="majorBidi" w:cstheme="majorBidi"/>
          <w:lang w:val="en-US"/>
        </w:rPr>
        <w:t>EC. (2019c)</w:t>
      </w:r>
      <w:r w:rsidRPr="00D806D9">
        <w:rPr>
          <w:rFonts w:asciiTheme="majorBidi" w:hAnsiTheme="majorBidi" w:cstheme="majorBidi"/>
          <w:i/>
          <w:iCs/>
          <w:lang w:val="en-US"/>
        </w:rPr>
        <w:t xml:space="preserve">. Commission Delegated Regulation (EU) 2019/856 of 26 February 2019 supplementing Directive 2003/87/EC of the European Parliament and of the Council with regard to the operation of the Innovation Fund. </w:t>
      </w:r>
      <w:r w:rsidRPr="00D806D9">
        <w:rPr>
          <w:rFonts w:asciiTheme="majorBidi" w:hAnsiTheme="majorBidi" w:cstheme="majorBidi"/>
          <w:lang w:val="en-US"/>
        </w:rPr>
        <w:t xml:space="preserve">Official Journal of the European Union. </w:t>
      </w:r>
      <w:hyperlink r:id="rId48" w:history="1">
        <w:r w:rsidRPr="00D806D9">
          <w:rPr>
            <w:rStyle w:val="Hyperlink"/>
            <w:rFonts w:asciiTheme="majorBidi" w:hAnsiTheme="majorBidi" w:cstheme="majorBidi"/>
            <w:lang w:val="en-US"/>
          </w:rPr>
          <w:t>Link</w:t>
        </w:r>
      </w:hyperlink>
    </w:p>
    <w:p w14:paraId="73A1E5BC" w14:textId="77777777" w:rsidR="00003440" w:rsidRPr="00D806D9" w:rsidRDefault="00003440" w:rsidP="00003440">
      <w:pPr>
        <w:pStyle w:val="Default"/>
        <w:jc w:val="both"/>
        <w:rPr>
          <w:rFonts w:asciiTheme="majorBidi" w:hAnsiTheme="majorBidi" w:cstheme="majorBidi"/>
          <w:lang w:val="en-US"/>
        </w:rPr>
      </w:pPr>
    </w:p>
    <w:p w14:paraId="35B5AB43" w14:textId="24F75004" w:rsidR="00E60725" w:rsidRPr="00D806D9" w:rsidRDefault="00E60725" w:rsidP="00003440">
      <w:pPr>
        <w:pStyle w:val="Default"/>
        <w:jc w:val="both"/>
        <w:rPr>
          <w:rStyle w:val="Hyperlink"/>
          <w:rFonts w:asciiTheme="majorBidi" w:hAnsiTheme="majorBidi" w:cstheme="majorBidi"/>
          <w:lang w:val="en-US"/>
        </w:rPr>
      </w:pPr>
      <w:r w:rsidRPr="00D806D9">
        <w:rPr>
          <w:rFonts w:asciiTheme="majorBidi" w:hAnsiTheme="majorBidi" w:cstheme="majorBidi"/>
          <w:lang w:val="en-US"/>
        </w:rPr>
        <w:t xml:space="preserve">EC. (2021a). </w:t>
      </w:r>
      <w:r w:rsidRPr="00D806D9">
        <w:rPr>
          <w:rFonts w:asciiTheme="majorBidi" w:hAnsiTheme="majorBidi" w:cstheme="majorBidi"/>
          <w:i/>
          <w:iCs/>
          <w:lang w:val="en-US"/>
        </w:rPr>
        <w:t xml:space="preserve">Communication From the Commission to the European Parliament, the European Council, the Council, the European Economic and Social Committee and the Committee of the Regions - 'Fit for 55': Delivering the EU's 2030 Climate Target on the Way to Climate Neutrality. </w:t>
      </w:r>
      <w:r w:rsidRPr="00D806D9">
        <w:rPr>
          <w:rFonts w:asciiTheme="majorBidi" w:hAnsiTheme="majorBidi" w:cstheme="majorBidi"/>
          <w:lang w:val="en-US"/>
        </w:rPr>
        <w:t xml:space="preserve">Official Journal of the European Union. </w:t>
      </w:r>
      <w:hyperlink r:id="rId49" w:history="1">
        <w:r w:rsidRPr="00D806D9">
          <w:rPr>
            <w:rStyle w:val="Hyperlink"/>
            <w:rFonts w:asciiTheme="majorBidi" w:hAnsiTheme="majorBidi" w:cstheme="majorBidi"/>
            <w:lang w:val="en-US"/>
          </w:rPr>
          <w:t>Link</w:t>
        </w:r>
      </w:hyperlink>
    </w:p>
    <w:p w14:paraId="3EC56087" w14:textId="77777777" w:rsidR="00003440" w:rsidRPr="00D806D9" w:rsidRDefault="00003440" w:rsidP="00003440">
      <w:pPr>
        <w:pStyle w:val="Default"/>
        <w:jc w:val="both"/>
        <w:rPr>
          <w:rFonts w:asciiTheme="majorBidi" w:hAnsiTheme="majorBidi" w:cstheme="majorBidi"/>
          <w:lang w:val="en-US"/>
        </w:rPr>
      </w:pPr>
    </w:p>
    <w:p w14:paraId="1577F120" w14:textId="3514E1ED" w:rsidR="00E60725" w:rsidRPr="00D806D9" w:rsidRDefault="00E60725" w:rsidP="00003440">
      <w:pPr>
        <w:pStyle w:val="title-bold"/>
        <w:shd w:val="clear" w:color="auto" w:fill="FFFFFF"/>
        <w:spacing w:before="0" w:beforeAutospacing="0" w:after="0" w:afterAutospacing="0"/>
        <w:jc w:val="both"/>
        <w:rPr>
          <w:rStyle w:val="Hyperlink"/>
          <w:rFonts w:asciiTheme="majorBidi" w:hAnsiTheme="majorBidi" w:cstheme="majorBidi"/>
          <w:lang w:val="en-US"/>
        </w:rPr>
      </w:pPr>
      <w:r w:rsidRPr="00D806D9">
        <w:rPr>
          <w:rFonts w:asciiTheme="majorBidi" w:hAnsiTheme="majorBidi" w:cstheme="majorBidi"/>
          <w:lang w:val="en-US"/>
        </w:rPr>
        <w:t xml:space="preserve">EC. (2021b). </w:t>
      </w:r>
      <w:r w:rsidRPr="00D806D9">
        <w:rPr>
          <w:rFonts w:asciiTheme="majorBidi" w:eastAsiaTheme="minorHAnsi" w:hAnsiTheme="majorBidi" w:cstheme="majorBidi"/>
          <w:i/>
          <w:iCs/>
          <w:color w:val="000000"/>
          <w:lang w:val="en-US" w:eastAsia="en-US"/>
        </w:rPr>
        <w:t>Commission Delegated Regulation (EU) 2021/1204 of 10 May 2021 amending Delegated Regulation (EU) 2019/856 as regards the application and selection procedures under the Innovation Fund</w:t>
      </w:r>
      <w:r w:rsidRPr="00D806D9">
        <w:rPr>
          <w:rFonts w:asciiTheme="majorBidi" w:eastAsiaTheme="minorHAnsi" w:hAnsiTheme="majorBidi" w:cstheme="majorBidi"/>
          <w:color w:val="000000"/>
          <w:lang w:val="en-US" w:eastAsia="en-US"/>
        </w:rPr>
        <w:t>. Official Journal of the European Union</w:t>
      </w:r>
      <w:r w:rsidRPr="00D806D9">
        <w:rPr>
          <w:rFonts w:asciiTheme="majorBidi" w:hAnsiTheme="majorBidi" w:cstheme="majorBidi"/>
          <w:lang w:val="en-US"/>
        </w:rPr>
        <w:t xml:space="preserve">. </w:t>
      </w:r>
      <w:hyperlink r:id="rId50" w:history="1">
        <w:r w:rsidRPr="00D806D9">
          <w:rPr>
            <w:rStyle w:val="Hyperlink"/>
            <w:rFonts w:asciiTheme="majorBidi" w:hAnsiTheme="majorBidi" w:cstheme="majorBidi"/>
            <w:lang w:val="en-US"/>
          </w:rPr>
          <w:t>Link</w:t>
        </w:r>
      </w:hyperlink>
    </w:p>
    <w:p w14:paraId="7D2C147D" w14:textId="77777777" w:rsidR="00003440" w:rsidRPr="00D806D9" w:rsidRDefault="00003440" w:rsidP="00003440">
      <w:pPr>
        <w:pStyle w:val="title-bold"/>
        <w:shd w:val="clear" w:color="auto" w:fill="FFFFFF"/>
        <w:spacing w:before="0" w:beforeAutospacing="0" w:after="0" w:afterAutospacing="0"/>
        <w:jc w:val="both"/>
        <w:rPr>
          <w:rStyle w:val="Hyperlink"/>
          <w:rFonts w:asciiTheme="majorBidi" w:hAnsiTheme="majorBidi" w:cstheme="majorBidi"/>
          <w:lang w:val="en-US"/>
        </w:rPr>
      </w:pPr>
    </w:p>
    <w:p w14:paraId="356A0C8D" w14:textId="1F1B05FC" w:rsidR="00E60725" w:rsidRPr="00D806D9" w:rsidRDefault="00E60725" w:rsidP="00003440">
      <w:pPr>
        <w:pStyle w:val="NormalWeb"/>
        <w:shd w:val="clear" w:color="auto" w:fill="FFFFFF"/>
        <w:spacing w:before="0" w:beforeAutospacing="0" w:after="0" w:afterAutospacing="0"/>
        <w:jc w:val="both"/>
        <w:rPr>
          <w:rFonts w:asciiTheme="majorBidi" w:eastAsiaTheme="minorHAnsi" w:hAnsiTheme="majorBidi" w:cstheme="majorBidi"/>
          <w:lang w:val="en-US" w:eastAsia="en-US" w:bidi="ar-SA"/>
        </w:rPr>
      </w:pPr>
      <w:r w:rsidRPr="00D806D9">
        <w:rPr>
          <w:rFonts w:asciiTheme="majorBidi" w:hAnsiTheme="majorBidi" w:cstheme="majorBidi"/>
          <w:lang w:val="en-US"/>
        </w:rPr>
        <w:t>EC. (2021c</w:t>
      </w:r>
      <w:r w:rsidRPr="00D806D9">
        <w:rPr>
          <w:rFonts w:asciiTheme="majorBidi" w:eastAsiaTheme="minorHAnsi" w:hAnsiTheme="majorBidi" w:cstheme="majorBidi"/>
          <w:lang w:val="en-US" w:eastAsia="en-US" w:bidi="ar-SA"/>
        </w:rPr>
        <w:t xml:space="preserve">). </w:t>
      </w:r>
      <w:r w:rsidRPr="00D806D9">
        <w:rPr>
          <w:rFonts w:asciiTheme="majorBidi" w:eastAsiaTheme="minorHAnsi" w:hAnsiTheme="majorBidi" w:cstheme="majorBidi"/>
          <w:i/>
          <w:iCs/>
          <w:lang w:val="en-US" w:eastAsia="en-US" w:bidi="ar-SA"/>
        </w:rPr>
        <w:t xml:space="preserve">Commission Staff Working Document Impact Assessment Report Accompanying the Document Directive of the European Parliament and of the Council amending Directive 2003/87/EC establishing a system for greenhouse gas emission allowance trading within the Union, Decision (EU) 2015/1814 concerning the </w:t>
      </w:r>
      <w:r w:rsidRPr="00D806D9">
        <w:rPr>
          <w:rFonts w:asciiTheme="majorBidi" w:eastAsiaTheme="minorHAnsi" w:hAnsiTheme="majorBidi" w:cstheme="majorBidi"/>
          <w:i/>
          <w:iCs/>
          <w:lang w:val="en-US" w:eastAsia="en-US" w:bidi="ar-SA"/>
        </w:rPr>
        <w:lastRenderedPageBreak/>
        <w:t>establishment and operation of a market stability reserve for the Union greenhouse gas emission trading scheme and Regulation (EU) 2015/757</w:t>
      </w:r>
      <w:r w:rsidRPr="00D806D9">
        <w:rPr>
          <w:rFonts w:asciiTheme="majorBidi" w:eastAsiaTheme="minorHAnsi" w:hAnsiTheme="majorBidi" w:cstheme="majorBidi"/>
          <w:lang w:val="en-US" w:eastAsia="en-US" w:bidi="ar-SA"/>
        </w:rPr>
        <w:t xml:space="preserve">. </w:t>
      </w:r>
      <w:r w:rsidRPr="00D806D9">
        <w:rPr>
          <w:rFonts w:asciiTheme="majorBidi" w:eastAsiaTheme="minorHAnsi" w:hAnsiTheme="majorBidi" w:cstheme="majorBidi"/>
          <w:color w:val="000000"/>
          <w:lang w:val="en-US" w:eastAsia="en-US"/>
        </w:rPr>
        <w:t>Official Journal of the European Union</w:t>
      </w:r>
      <w:r w:rsidRPr="00D806D9">
        <w:rPr>
          <w:rFonts w:asciiTheme="majorBidi" w:eastAsiaTheme="minorHAnsi" w:hAnsiTheme="majorBidi" w:cstheme="majorBidi"/>
          <w:lang w:val="en-US" w:eastAsia="en-US" w:bidi="ar-SA"/>
        </w:rPr>
        <w:t xml:space="preserve">, SWD/2021/601 final, document 4. </w:t>
      </w:r>
      <w:hyperlink r:id="rId51" w:history="1">
        <w:r w:rsidRPr="00D806D9">
          <w:rPr>
            <w:rStyle w:val="Hyperlink"/>
            <w:rFonts w:asciiTheme="majorBidi" w:eastAsiaTheme="minorHAnsi" w:hAnsiTheme="majorBidi" w:cstheme="majorBidi"/>
            <w:lang w:val="en-US" w:eastAsia="en-US" w:bidi="ar-SA"/>
          </w:rPr>
          <w:t>Link</w:t>
        </w:r>
      </w:hyperlink>
    </w:p>
    <w:p w14:paraId="6AC150B6" w14:textId="77777777" w:rsidR="00003440" w:rsidRPr="00D806D9" w:rsidRDefault="00003440" w:rsidP="00003440">
      <w:pPr>
        <w:pStyle w:val="NormalWeb"/>
        <w:shd w:val="clear" w:color="auto" w:fill="FFFFFF"/>
        <w:spacing w:before="0" w:beforeAutospacing="0" w:after="0" w:afterAutospacing="0"/>
        <w:jc w:val="both"/>
        <w:rPr>
          <w:rFonts w:asciiTheme="majorBidi" w:eastAsiaTheme="minorHAnsi" w:hAnsiTheme="majorBidi" w:cstheme="majorBidi"/>
          <w:lang w:val="en-US" w:eastAsia="en-US" w:bidi="ar-SA"/>
        </w:rPr>
      </w:pPr>
    </w:p>
    <w:p w14:paraId="40705257" w14:textId="154250DA" w:rsidR="00E60725" w:rsidRPr="00D806D9" w:rsidRDefault="00E60725" w:rsidP="00003440">
      <w:pPr>
        <w:pStyle w:val="NormalWeb"/>
        <w:shd w:val="clear" w:color="auto" w:fill="FFFFFF"/>
        <w:spacing w:before="0" w:beforeAutospacing="0" w:after="0" w:afterAutospacing="0"/>
        <w:jc w:val="both"/>
        <w:rPr>
          <w:rFonts w:asciiTheme="majorBidi" w:eastAsiaTheme="minorHAnsi" w:hAnsiTheme="majorBidi" w:cstheme="majorBidi"/>
          <w:lang w:val="en-US" w:eastAsia="en-US" w:bidi="ar-SA"/>
        </w:rPr>
      </w:pPr>
      <w:r w:rsidRPr="00D806D9">
        <w:rPr>
          <w:rFonts w:asciiTheme="majorBidi" w:hAnsiTheme="majorBidi" w:cstheme="majorBidi"/>
          <w:lang w:val="en-US"/>
        </w:rPr>
        <w:t>EC. (2021d</w:t>
      </w:r>
      <w:r w:rsidRPr="00D806D9">
        <w:rPr>
          <w:rFonts w:asciiTheme="majorBidi" w:eastAsiaTheme="minorHAnsi" w:hAnsiTheme="majorBidi" w:cstheme="majorBidi"/>
          <w:lang w:val="en-US" w:eastAsia="en-US" w:bidi="ar-SA"/>
        </w:rPr>
        <w:t xml:space="preserve">). </w:t>
      </w:r>
      <w:r w:rsidRPr="00D806D9">
        <w:rPr>
          <w:rFonts w:asciiTheme="majorBidi" w:eastAsiaTheme="minorHAnsi" w:hAnsiTheme="majorBidi" w:cstheme="majorBidi"/>
          <w:i/>
          <w:iCs/>
          <w:lang w:val="en-US" w:eastAsia="en-US" w:bidi="ar-SA"/>
        </w:rPr>
        <w:t>Commission Staff Working Document Impact Assessment Report Accompanying the Document Directive of the European Parliament and of the Council amending Directive 2003/87/EC establishing a system for greenhouse gas emission allowance trading within the Union, Decision (EU) 2015/1814 concerning the establishment and operation of a market stability reserve for the Union greenhouse gas emission trading scheme and Regulation (EU) 2015/757</w:t>
      </w:r>
      <w:r w:rsidRPr="00D806D9">
        <w:rPr>
          <w:rFonts w:asciiTheme="majorBidi" w:eastAsiaTheme="minorHAnsi" w:hAnsiTheme="majorBidi" w:cstheme="majorBidi"/>
          <w:lang w:val="en-US" w:eastAsia="en-US" w:bidi="ar-SA"/>
        </w:rPr>
        <w:t xml:space="preserve">. </w:t>
      </w:r>
      <w:r w:rsidRPr="00D806D9">
        <w:rPr>
          <w:rFonts w:asciiTheme="majorBidi" w:eastAsiaTheme="minorHAnsi" w:hAnsiTheme="majorBidi" w:cstheme="majorBidi"/>
          <w:color w:val="000000"/>
          <w:lang w:val="en-US" w:eastAsia="en-US"/>
        </w:rPr>
        <w:t>Official Journal of the European Union</w:t>
      </w:r>
      <w:r w:rsidRPr="00D806D9">
        <w:rPr>
          <w:rFonts w:asciiTheme="majorBidi" w:eastAsiaTheme="minorHAnsi" w:hAnsiTheme="majorBidi" w:cstheme="majorBidi"/>
          <w:lang w:val="en-US" w:eastAsia="en-US" w:bidi="ar-SA"/>
        </w:rPr>
        <w:t xml:space="preserve">, SWD/2021/601 final, document 1. </w:t>
      </w:r>
      <w:hyperlink r:id="rId52" w:history="1">
        <w:r w:rsidRPr="00D806D9">
          <w:rPr>
            <w:rStyle w:val="Hyperlink"/>
            <w:rFonts w:asciiTheme="majorBidi" w:eastAsiaTheme="minorHAnsi" w:hAnsiTheme="majorBidi" w:cstheme="majorBidi"/>
            <w:lang w:val="en-US" w:eastAsia="en-US" w:bidi="ar-SA"/>
          </w:rPr>
          <w:t>Link</w:t>
        </w:r>
      </w:hyperlink>
    </w:p>
    <w:p w14:paraId="2C2482E7" w14:textId="77777777" w:rsidR="00003440" w:rsidRPr="00D806D9" w:rsidRDefault="00003440" w:rsidP="00003440">
      <w:pPr>
        <w:pStyle w:val="NormalWeb"/>
        <w:shd w:val="clear" w:color="auto" w:fill="FFFFFF"/>
        <w:spacing w:before="0" w:beforeAutospacing="0" w:after="0" w:afterAutospacing="0"/>
        <w:jc w:val="both"/>
        <w:rPr>
          <w:rFonts w:asciiTheme="majorBidi" w:eastAsiaTheme="minorHAnsi" w:hAnsiTheme="majorBidi" w:cstheme="majorBidi"/>
          <w:lang w:val="en-US" w:eastAsia="en-US" w:bidi="ar-SA"/>
        </w:rPr>
      </w:pPr>
    </w:p>
    <w:p w14:paraId="3013BAA2" w14:textId="0FBEAB3E" w:rsidR="00E60725" w:rsidRPr="00D806D9" w:rsidRDefault="00E60725" w:rsidP="00003440">
      <w:pPr>
        <w:pStyle w:val="title-bold"/>
        <w:shd w:val="clear" w:color="auto" w:fill="FFFFFF"/>
        <w:spacing w:before="0" w:beforeAutospacing="0" w:after="0" w:afterAutospacing="0"/>
        <w:jc w:val="both"/>
        <w:rPr>
          <w:rFonts w:asciiTheme="majorBidi" w:hAnsiTheme="majorBidi" w:cstheme="majorBidi"/>
          <w:lang w:val="en-US"/>
        </w:rPr>
      </w:pPr>
      <w:r w:rsidRPr="00D806D9">
        <w:rPr>
          <w:rFonts w:asciiTheme="majorBidi" w:hAnsiTheme="majorBidi" w:cstheme="majorBidi"/>
          <w:lang w:val="en-US"/>
        </w:rPr>
        <w:t xml:space="preserve">EC. (2022a). </w:t>
      </w:r>
      <w:r w:rsidRPr="00D806D9">
        <w:rPr>
          <w:rFonts w:asciiTheme="majorBidi" w:eastAsiaTheme="minorHAnsi" w:hAnsiTheme="majorBidi" w:cstheme="majorBidi"/>
          <w:i/>
          <w:iCs/>
          <w:lang w:val="en-US" w:eastAsia="en-US" w:bidi="ar-SA"/>
        </w:rPr>
        <w:t>State Aid: Commission approves up to €5.4 billion of public support by fifteen Member States for an Important Project of Common European Interest in the hydrogen technology value chain</w:t>
      </w:r>
      <w:r w:rsidRPr="00D806D9">
        <w:rPr>
          <w:rFonts w:asciiTheme="majorBidi" w:eastAsiaTheme="minorHAnsi" w:hAnsiTheme="majorBidi" w:cstheme="majorBidi"/>
          <w:lang w:val="en-US" w:eastAsia="en-US" w:bidi="ar-SA"/>
        </w:rPr>
        <w:t xml:space="preserve">. </w:t>
      </w:r>
      <w:hyperlink r:id="rId53" w:history="1">
        <w:r w:rsidRPr="00D806D9">
          <w:rPr>
            <w:rStyle w:val="Hyperlink"/>
            <w:rFonts w:asciiTheme="majorBidi" w:hAnsiTheme="majorBidi" w:cstheme="majorBidi"/>
            <w:lang w:val="en-US"/>
          </w:rPr>
          <w:t>Link</w:t>
        </w:r>
      </w:hyperlink>
      <w:r w:rsidRPr="00D806D9">
        <w:rPr>
          <w:rFonts w:asciiTheme="majorBidi" w:hAnsiTheme="majorBidi" w:cstheme="majorBidi"/>
          <w:lang w:val="en-US"/>
        </w:rPr>
        <w:t xml:space="preserve"> (accessed on July 25</w:t>
      </w:r>
      <w:r w:rsidRPr="00D806D9">
        <w:rPr>
          <w:rFonts w:asciiTheme="majorBidi" w:hAnsiTheme="majorBidi" w:cstheme="majorBidi"/>
          <w:vertAlign w:val="superscript"/>
          <w:lang w:val="en-US"/>
        </w:rPr>
        <w:t>th</w:t>
      </w:r>
      <w:r w:rsidRPr="00D806D9">
        <w:rPr>
          <w:rFonts w:asciiTheme="majorBidi" w:hAnsiTheme="majorBidi" w:cstheme="majorBidi"/>
          <w:lang w:val="en-US"/>
        </w:rPr>
        <w:t xml:space="preserve"> 2022)</w:t>
      </w:r>
    </w:p>
    <w:p w14:paraId="20BC1C67" w14:textId="77777777" w:rsidR="00003440" w:rsidRPr="00D806D9" w:rsidRDefault="00003440" w:rsidP="00003440">
      <w:pPr>
        <w:pStyle w:val="title-bold"/>
        <w:shd w:val="clear" w:color="auto" w:fill="FFFFFF"/>
        <w:spacing w:before="0" w:beforeAutospacing="0" w:after="0" w:afterAutospacing="0"/>
        <w:jc w:val="both"/>
        <w:rPr>
          <w:rFonts w:asciiTheme="majorBidi" w:hAnsiTheme="majorBidi" w:cstheme="majorBidi"/>
          <w:lang w:val="en-US"/>
        </w:rPr>
      </w:pPr>
    </w:p>
    <w:p w14:paraId="7FEBA952" w14:textId="23017CD2" w:rsidR="00E60725" w:rsidRPr="00D806D9" w:rsidRDefault="00E60725" w:rsidP="00003440">
      <w:pPr>
        <w:shd w:val="clear" w:color="auto" w:fill="FFFFFF"/>
        <w:spacing w:after="0" w:line="240" w:lineRule="auto"/>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EC. (2022b). </w:t>
      </w:r>
      <w:r w:rsidRPr="00D806D9">
        <w:rPr>
          <w:rFonts w:asciiTheme="majorBidi" w:hAnsiTheme="majorBidi" w:cstheme="majorBidi"/>
          <w:i/>
          <w:iCs/>
          <w:sz w:val="24"/>
          <w:szCs w:val="24"/>
          <w:lang w:val="en-US"/>
        </w:rPr>
        <w:t xml:space="preserve">Communication from the Commission to the European Parliament, the European Council, the Council, the European Economic and Social Committee and the Committee of the Regions - </w:t>
      </w:r>
      <w:proofErr w:type="spellStart"/>
      <w:r w:rsidRPr="00D806D9">
        <w:rPr>
          <w:rFonts w:asciiTheme="majorBidi" w:hAnsiTheme="majorBidi" w:cstheme="majorBidi"/>
          <w:i/>
          <w:iCs/>
          <w:sz w:val="24"/>
          <w:szCs w:val="24"/>
          <w:lang w:val="en-US"/>
        </w:rPr>
        <w:t>REPowerEU</w:t>
      </w:r>
      <w:proofErr w:type="spellEnd"/>
      <w:r w:rsidRPr="00D806D9">
        <w:rPr>
          <w:rFonts w:asciiTheme="majorBidi" w:hAnsiTheme="majorBidi" w:cstheme="majorBidi"/>
          <w:i/>
          <w:iCs/>
          <w:sz w:val="24"/>
          <w:szCs w:val="24"/>
          <w:lang w:val="en-US"/>
        </w:rPr>
        <w:t xml:space="preserve"> Plan</w:t>
      </w:r>
      <w:r w:rsidRPr="00D806D9">
        <w:rPr>
          <w:rFonts w:asciiTheme="majorBidi" w:hAnsiTheme="majorBidi" w:cstheme="majorBidi"/>
          <w:sz w:val="24"/>
          <w:szCs w:val="24"/>
          <w:lang w:val="en-US"/>
        </w:rPr>
        <w:t>. COM(18</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May 2022) 230 final. </w:t>
      </w:r>
      <w:hyperlink r:id="rId54" w:history="1">
        <w:r w:rsidRPr="00D806D9">
          <w:rPr>
            <w:rStyle w:val="Hyperlink"/>
            <w:rFonts w:asciiTheme="majorBidi" w:hAnsiTheme="majorBidi" w:cstheme="majorBidi"/>
            <w:sz w:val="24"/>
            <w:szCs w:val="24"/>
            <w:lang w:val="en-US"/>
          </w:rPr>
          <w:t>Link</w:t>
        </w:r>
      </w:hyperlink>
    </w:p>
    <w:p w14:paraId="0B1E4C99" w14:textId="77777777" w:rsidR="00894611" w:rsidRPr="00D806D9" w:rsidRDefault="00894611" w:rsidP="00003440">
      <w:pPr>
        <w:shd w:val="clear" w:color="auto" w:fill="FFFFFF"/>
        <w:spacing w:after="0" w:line="240" w:lineRule="auto"/>
        <w:jc w:val="both"/>
        <w:rPr>
          <w:rStyle w:val="Hyperlink"/>
          <w:rFonts w:asciiTheme="majorBidi" w:hAnsiTheme="majorBidi" w:cstheme="majorBidi"/>
          <w:sz w:val="24"/>
          <w:szCs w:val="24"/>
          <w:lang w:val="en-US"/>
        </w:rPr>
      </w:pPr>
    </w:p>
    <w:p w14:paraId="0ECBB224" w14:textId="71953740" w:rsidR="00E60725" w:rsidRPr="00D806D9" w:rsidRDefault="00E60725" w:rsidP="00003440">
      <w:pPr>
        <w:pStyle w:val="Default"/>
        <w:jc w:val="both"/>
        <w:rPr>
          <w:rFonts w:asciiTheme="majorBidi" w:hAnsiTheme="majorBidi" w:cstheme="majorBidi"/>
          <w:i/>
          <w:iCs/>
          <w:lang w:val="en-US"/>
        </w:rPr>
      </w:pPr>
      <w:r w:rsidRPr="00D806D9">
        <w:rPr>
          <w:rFonts w:asciiTheme="majorBidi" w:hAnsiTheme="majorBidi" w:cstheme="majorBidi"/>
          <w:lang w:val="en-US"/>
        </w:rPr>
        <w:t xml:space="preserve">EC. (2022c). </w:t>
      </w:r>
      <w:r w:rsidRPr="00D806D9">
        <w:rPr>
          <w:rFonts w:asciiTheme="majorBidi" w:hAnsiTheme="majorBidi" w:cstheme="majorBidi"/>
          <w:i/>
          <w:iCs/>
          <w:lang w:val="en-US"/>
        </w:rPr>
        <w:t>Innovation Fund - Key statistics from the first Call for Large-Scale Projects</w:t>
      </w:r>
      <w:r w:rsidR="00894611" w:rsidRPr="00D806D9">
        <w:rPr>
          <w:rFonts w:asciiTheme="majorBidi" w:hAnsiTheme="majorBidi" w:cstheme="majorBidi"/>
          <w:i/>
          <w:iCs/>
          <w:lang w:val="en-US"/>
        </w:rPr>
        <w:t xml:space="preserve">. </w:t>
      </w:r>
      <w:hyperlink r:id="rId55" w:history="1">
        <w:r w:rsidR="00894611" w:rsidRPr="00D806D9">
          <w:rPr>
            <w:rStyle w:val="Hyperlink"/>
            <w:rFonts w:asciiTheme="majorBidi" w:hAnsiTheme="majorBidi" w:cstheme="majorBidi"/>
            <w:lang w:val="en-US"/>
          </w:rPr>
          <w:t>Link</w:t>
        </w:r>
      </w:hyperlink>
    </w:p>
    <w:p w14:paraId="0F6D075F" w14:textId="77777777" w:rsidR="00894611" w:rsidRPr="00D806D9" w:rsidRDefault="00894611" w:rsidP="00003440">
      <w:pPr>
        <w:pStyle w:val="Default"/>
        <w:jc w:val="both"/>
        <w:rPr>
          <w:rStyle w:val="Hyperlink"/>
          <w:rFonts w:asciiTheme="majorBidi" w:hAnsiTheme="majorBidi" w:cstheme="majorBidi"/>
          <w:lang w:val="en-US"/>
        </w:rPr>
      </w:pPr>
    </w:p>
    <w:p w14:paraId="377DD297" w14:textId="6B9A5BB4"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EC. (2022d). </w:t>
      </w:r>
      <w:r w:rsidRPr="00D806D9">
        <w:rPr>
          <w:rFonts w:asciiTheme="majorBidi" w:hAnsiTheme="majorBidi" w:cstheme="majorBidi"/>
          <w:i/>
          <w:iCs/>
          <w:sz w:val="24"/>
          <w:szCs w:val="24"/>
          <w:lang w:val="en-US"/>
        </w:rPr>
        <w:t>EU Experts Model Contract for Experts Funding &amp; Tenders Portal Expert Database</w:t>
      </w:r>
      <w:r w:rsidRPr="00D806D9">
        <w:rPr>
          <w:rFonts w:asciiTheme="majorBidi" w:hAnsiTheme="majorBidi" w:cstheme="majorBidi"/>
          <w:sz w:val="24"/>
          <w:szCs w:val="24"/>
          <w:lang w:val="en-US"/>
        </w:rPr>
        <w:t>. Version 2.1 of January 11</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 </w:t>
      </w:r>
      <w:hyperlink r:id="rId56" w:anchor="page=45"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June 6</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w:t>
      </w:r>
    </w:p>
    <w:p w14:paraId="1BBD02C0" w14:textId="77777777" w:rsidR="00003440" w:rsidRPr="00D806D9" w:rsidRDefault="00003440" w:rsidP="00003440">
      <w:pPr>
        <w:autoSpaceDE w:val="0"/>
        <w:autoSpaceDN w:val="0"/>
        <w:adjustRightInd w:val="0"/>
        <w:spacing w:after="0" w:line="240" w:lineRule="auto"/>
        <w:jc w:val="both"/>
        <w:rPr>
          <w:rFonts w:asciiTheme="majorBidi" w:hAnsiTheme="majorBidi" w:cstheme="majorBidi"/>
          <w:sz w:val="24"/>
          <w:szCs w:val="24"/>
          <w:lang w:val="en-US"/>
        </w:rPr>
      </w:pPr>
    </w:p>
    <w:p w14:paraId="7104B794" w14:textId="3D1F4B0E" w:rsidR="00E60725" w:rsidRPr="00D806D9" w:rsidRDefault="00E60725" w:rsidP="00003440">
      <w:pPr>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EC. (2022e). </w:t>
      </w:r>
      <w:r w:rsidRPr="00D806D9">
        <w:rPr>
          <w:rFonts w:asciiTheme="majorBidi" w:hAnsiTheme="majorBidi" w:cstheme="majorBidi"/>
          <w:i/>
          <w:iCs/>
          <w:sz w:val="24"/>
          <w:szCs w:val="24"/>
          <w:lang w:val="en-US"/>
        </w:rPr>
        <w:t>Innovation Fund Expert Group 12 July 2022</w:t>
      </w:r>
      <w:r w:rsidRPr="00D806D9">
        <w:rPr>
          <w:rFonts w:asciiTheme="majorBidi" w:hAnsiTheme="majorBidi" w:cstheme="majorBidi"/>
          <w:sz w:val="24"/>
          <w:szCs w:val="24"/>
          <w:lang w:val="en-US"/>
        </w:rPr>
        <w:t xml:space="preserve">, meeting presentation. </w:t>
      </w:r>
      <w:hyperlink r:id="rId57"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July 29</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w:t>
      </w:r>
    </w:p>
    <w:p w14:paraId="748F209D" w14:textId="77777777" w:rsidR="00003440" w:rsidRPr="00D806D9" w:rsidRDefault="00003440" w:rsidP="00003440">
      <w:pPr>
        <w:spacing w:after="0" w:line="240" w:lineRule="auto"/>
        <w:jc w:val="both"/>
        <w:rPr>
          <w:rFonts w:asciiTheme="majorBidi" w:hAnsiTheme="majorBidi" w:cstheme="majorBidi"/>
          <w:sz w:val="24"/>
          <w:szCs w:val="24"/>
          <w:lang w:val="en-US"/>
        </w:rPr>
      </w:pPr>
    </w:p>
    <w:p w14:paraId="5D03A8F7" w14:textId="29DE1624"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EC. (2022f). Communication From the Commission - Guidelines on State aid for climate, environmental protection and energy 2022, [2022/C 80/01].</w:t>
      </w:r>
      <w:r w:rsidR="0009330A" w:rsidRPr="00D806D9">
        <w:rPr>
          <w:rFonts w:asciiTheme="majorBidi" w:hAnsiTheme="majorBidi" w:cstheme="majorBidi"/>
          <w:sz w:val="24"/>
          <w:szCs w:val="24"/>
          <w:lang w:val="en-US"/>
        </w:rPr>
        <w:t xml:space="preserve"> </w:t>
      </w:r>
      <w:r w:rsidR="0009330A" w:rsidRPr="00D806D9">
        <w:rPr>
          <w:rFonts w:asciiTheme="majorBidi" w:hAnsiTheme="majorBidi" w:cstheme="majorBidi"/>
          <w:color w:val="000000"/>
          <w:sz w:val="24"/>
          <w:szCs w:val="24"/>
          <w:lang w:val="en-US"/>
        </w:rPr>
        <w:t xml:space="preserve">Official Journal of the European Union. </w:t>
      </w:r>
      <w:hyperlink r:id="rId58" w:history="1">
        <w:r w:rsidR="0009330A" w:rsidRPr="00D806D9">
          <w:rPr>
            <w:rStyle w:val="Hyperlink"/>
            <w:rFonts w:asciiTheme="majorBidi" w:hAnsiTheme="majorBidi" w:cstheme="majorBidi"/>
            <w:sz w:val="24"/>
            <w:szCs w:val="24"/>
            <w:lang w:val="en-US"/>
          </w:rPr>
          <w:t>Link</w:t>
        </w:r>
      </w:hyperlink>
    </w:p>
    <w:p w14:paraId="71682C49" w14:textId="77777777" w:rsidR="00003440" w:rsidRPr="00D806D9" w:rsidRDefault="00003440" w:rsidP="00003440">
      <w:pPr>
        <w:autoSpaceDE w:val="0"/>
        <w:autoSpaceDN w:val="0"/>
        <w:adjustRightInd w:val="0"/>
        <w:spacing w:after="0" w:line="240" w:lineRule="auto"/>
        <w:jc w:val="both"/>
        <w:rPr>
          <w:rFonts w:asciiTheme="majorBidi" w:hAnsiTheme="majorBidi" w:cstheme="majorBidi"/>
          <w:sz w:val="24"/>
          <w:szCs w:val="24"/>
          <w:lang w:val="en-US"/>
        </w:rPr>
      </w:pPr>
    </w:p>
    <w:p w14:paraId="707603D6" w14:textId="67F07B2E" w:rsidR="00E60725" w:rsidRPr="00D806D9" w:rsidRDefault="00E60725" w:rsidP="00003440">
      <w:pPr>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EEA. (2022). </w:t>
      </w:r>
      <w:r w:rsidRPr="00D806D9">
        <w:rPr>
          <w:rFonts w:asciiTheme="majorBidi" w:eastAsia="Times New Roman" w:hAnsiTheme="majorBidi" w:cstheme="majorBidi"/>
          <w:i/>
          <w:iCs/>
          <w:sz w:val="24"/>
          <w:szCs w:val="24"/>
          <w:lang w:val="en-US" w:eastAsia="fr-FR" w:bidi="he-IL"/>
        </w:rPr>
        <w:t>The EU Emissions Trading System in 2021: trends and projections</w:t>
      </w:r>
      <w:r w:rsidRPr="00D806D9">
        <w:rPr>
          <w:rFonts w:asciiTheme="majorBidi" w:eastAsia="Times New Roman" w:hAnsiTheme="majorBidi" w:cstheme="majorBidi"/>
          <w:sz w:val="24"/>
          <w:szCs w:val="24"/>
          <w:lang w:val="en-US" w:eastAsia="fr-FR" w:bidi="he-IL"/>
        </w:rPr>
        <w:t xml:space="preserve">. </w:t>
      </w:r>
      <w:hyperlink r:id="rId59" w:history="1">
        <w:r w:rsidRPr="00D806D9">
          <w:rPr>
            <w:rStyle w:val="Hyperlink"/>
            <w:rFonts w:asciiTheme="majorBidi" w:eastAsia="Times New Roman" w:hAnsiTheme="majorBidi" w:cstheme="majorBidi"/>
            <w:sz w:val="24"/>
            <w:szCs w:val="24"/>
            <w:lang w:val="en-US" w:eastAsia="fr-FR" w:bidi="he-IL"/>
          </w:rPr>
          <w:t>Link</w:t>
        </w:r>
      </w:hyperlink>
    </w:p>
    <w:p w14:paraId="0FB282E8" w14:textId="77777777" w:rsidR="00BF3924" w:rsidRPr="00D806D9" w:rsidRDefault="00BF3924" w:rsidP="00003440">
      <w:pPr>
        <w:spacing w:after="0" w:line="240" w:lineRule="auto"/>
        <w:jc w:val="both"/>
        <w:rPr>
          <w:rFonts w:asciiTheme="majorBidi" w:eastAsia="Times New Roman" w:hAnsiTheme="majorBidi" w:cstheme="majorBidi"/>
          <w:sz w:val="24"/>
          <w:szCs w:val="24"/>
          <w:lang w:val="en-US" w:eastAsia="fr-FR" w:bidi="he-IL"/>
        </w:rPr>
      </w:pPr>
    </w:p>
    <w:p w14:paraId="7A7E2F76" w14:textId="4477DE43" w:rsidR="00E60725" w:rsidRPr="00D806D9" w:rsidRDefault="00E60725" w:rsidP="00003440">
      <w:pPr>
        <w:pStyle w:val="NormalWeb"/>
        <w:spacing w:before="0" w:beforeAutospacing="0" w:after="0" w:afterAutospacing="0"/>
        <w:jc w:val="both"/>
        <w:rPr>
          <w:rStyle w:val="Hyperlink"/>
          <w:rFonts w:asciiTheme="majorBidi" w:hAnsiTheme="majorBidi" w:cstheme="majorBidi"/>
          <w:lang w:val="en-US"/>
        </w:rPr>
      </w:pPr>
      <w:proofErr w:type="spellStart"/>
      <w:r w:rsidRPr="00D806D9">
        <w:rPr>
          <w:rFonts w:asciiTheme="majorBidi" w:hAnsiTheme="majorBidi" w:cstheme="majorBidi"/>
          <w:lang w:val="en-US"/>
        </w:rPr>
        <w:t>Egenhofer</w:t>
      </w:r>
      <w:proofErr w:type="spellEnd"/>
      <w:r w:rsidRPr="00D806D9">
        <w:rPr>
          <w:rFonts w:asciiTheme="majorBidi" w:hAnsiTheme="majorBidi" w:cstheme="majorBidi"/>
          <w:lang w:val="en-US"/>
        </w:rPr>
        <w:t xml:space="preserve">, C., </w:t>
      </w:r>
      <w:proofErr w:type="spellStart"/>
      <w:r w:rsidRPr="00D806D9">
        <w:rPr>
          <w:rFonts w:asciiTheme="majorBidi" w:hAnsiTheme="majorBidi" w:cstheme="majorBidi"/>
          <w:lang w:val="en-US"/>
        </w:rPr>
        <w:t>Marcu</w:t>
      </w:r>
      <w:proofErr w:type="spellEnd"/>
      <w:r w:rsidRPr="00D806D9">
        <w:rPr>
          <w:rFonts w:asciiTheme="majorBidi" w:hAnsiTheme="majorBidi" w:cstheme="majorBidi"/>
          <w:lang w:val="en-US"/>
        </w:rPr>
        <w:t xml:space="preserve">, A., &amp; </w:t>
      </w:r>
      <w:proofErr w:type="spellStart"/>
      <w:r w:rsidRPr="00D806D9">
        <w:rPr>
          <w:rFonts w:asciiTheme="majorBidi" w:hAnsiTheme="majorBidi" w:cstheme="majorBidi"/>
          <w:lang w:val="en-US"/>
        </w:rPr>
        <w:t>Georgiev</w:t>
      </w:r>
      <w:proofErr w:type="spellEnd"/>
      <w:r w:rsidRPr="00D806D9">
        <w:rPr>
          <w:rFonts w:asciiTheme="majorBidi" w:hAnsiTheme="majorBidi" w:cstheme="majorBidi"/>
          <w:lang w:val="en-US"/>
        </w:rPr>
        <w:t xml:space="preserve">, A. (2012). </w:t>
      </w:r>
      <w:r w:rsidRPr="00D806D9">
        <w:rPr>
          <w:rFonts w:asciiTheme="majorBidi" w:hAnsiTheme="majorBidi" w:cstheme="majorBidi"/>
          <w:i/>
          <w:iCs/>
          <w:lang w:val="en-US"/>
        </w:rPr>
        <w:t>Reviewing the EU ETS Review?</w:t>
      </w:r>
      <w:r w:rsidRPr="00D806D9">
        <w:rPr>
          <w:rFonts w:asciiTheme="majorBidi" w:hAnsiTheme="majorBidi" w:cstheme="majorBidi"/>
          <w:lang w:val="en-US"/>
        </w:rPr>
        <w:t xml:space="preserve">. Center for European Policy Studies Task Force Reports. </w:t>
      </w:r>
      <w:hyperlink r:id="rId60" w:history="1">
        <w:r w:rsidRPr="00D806D9">
          <w:rPr>
            <w:rStyle w:val="Hyperlink"/>
            <w:rFonts w:asciiTheme="majorBidi" w:hAnsiTheme="majorBidi" w:cstheme="majorBidi"/>
            <w:lang w:val="en-US"/>
          </w:rPr>
          <w:t>Link</w:t>
        </w:r>
      </w:hyperlink>
    </w:p>
    <w:p w14:paraId="45967FFD" w14:textId="77777777" w:rsidR="00003440" w:rsidRPr="00D806D9" w:rsidRDefault="00003440" w:rsidP="00003440">
      <w:pPr>
        <w:pStyle w:val="NormalWeb"/>
        <w:spacing w:before="0" w:beforeAutospacing="0" w:after="0" w:afterAutospacing="0"/>
        <w:jc w:val="both"/>
        <w:rPr>
          <w:rFonts w:asciiTheme="majorBidi" w:hAnsiTheme="majorBidi" w:cstheme="majorBidi"/>
          <w:lang w:val="en-US"/>
        </w:rPr>
      </w:pPr>
    </w:p>
    <w:p w14:paraId="55EFB27C" w14:textId="1E909994" w:rsidR="00E60725" w:rsidRPr="00D806D9"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Eichner, T., &amp; </w:t>
      </w:r>
      <w:proofErr w:type="spellStart"/>
      <w:r w:rsidRPr="00D806D9">
        <w:rPr>
          <w:rFonts w:asciiTheme="majorBidi" w:eastAsia="Times New Roman" w:hAnsiTheme="majorBidi" w:cstheme="majorBidi"/>
          <w:sz w:val="24"/>
          <w:szCs w:val="24"/>
          <w:lang w:val="en-US" w:eastAsia="fr-FR" w:bidi="he-IL"/>
        </w:rPr>
        <w:t>Pethig</w:t>
      </w:r>
      <w:proofErr w:type="spellEnd"/>
      <w:r w:rsidRPr="00D806D9">
        <w:rPr>
          <w:rFonts w:asciiTheme="majorBidi" w:eastAsia="Times New Roman" w:hAnsiTheme="majorBidi" w:cstheme="majorBidi"/>
          <w:sz w:val="24"/>
          <w:szCs w:val="24"/>
          <w:lang w:val="en-US" w:eastAsia="fr-FR" w:bidi="he-IL"/>
        </w:rPr>
        <w:t>, R</w:t>
      </w:r>
      <w:r w:rsidR="00BF3924" w:rsidRPr="00D806D9">
        <w:rPr>
          <w:rFonts w:asciiTheme="majorBidi" w:eastAsia="Times New Roman" w:hAnsiTheme="majorBidi" w:cstheme="majorBidi"/>
          <w:sz w:val="24"/>
          <w:szCs w:val="24"/>
          <w:lang w:val="en-US" w:eastAsia="fr-FR" w:bidi="he-IL"/>
        </w:rPr>
        <w:t>.</w:t>
      </w:r>
      <w:r w:rsidRPr="00D806D9">
        <w:rPr>
          <w:rFonts w:asciiTheme="majorBidi" w:eastAsia="Times New Roman" w:hAnsiTheme="majorBidi" w:cstheme="majorBidi"/>
          <w:sz w:val="24"/>
          <w:szCs w:val="24"/>
          <w:lang w:val="en-US" w:eastAsia="fr-FR" w:bidi="he-IL"/>
        </w:rPr>
        <w:t xml:space="preserve"> (2019). EU-type carbon regulation and the waterbed effect of green energy promotion. </w:t>
      </w:r>
      <w:r w:rsidRPr="00D806D9">
        <w:rPr>
          <w:rFonts w:asciiTheme="majorBidi" w:eastAsia="Times New Roman" w:hAnsiTheme="majorBidi" w:cstheme="majorBidi"/>
          <w:i/>
          <w:iCs/>
          <w:sz w:val="24"/>
          <w:szCs w:val="24"/>
          <w:lang w:val="en-US" w:eastAsia="fr-FR" w:bidi="he-IL"/>
        </w:rPr>
        <w:t>Energy Economics</w:t>
      </w:r>
      <w:r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i/>
          <w:iCs/>
          <w:sz w:val="24"/>
          <w:szCs w:val="24"/>
          <w:lang w:val="en-US" w:eastAsia="fr-FR" w:bidi="he-IL"/>
        </w:rPr>
        <w:t>80</w:t>
      </w:r>
      <w:r w:rsidRPr="00D806D9">
        <w:rPr>
          <w:rFonts w:asciiTheme="majorBidi" w:eastAsia="Times New Roman" w:hAnsiTheme="majorBidi" w:cstheme="majorBidi"/>
          <w:sz w:val="24"/>
          <w:szCs w:val="24"/>
          <w:lang w:val="en-US" w:eastAsia="fr-FR" w:bidi="he-IL"/>
        </w:rPr>
        <w:t xml:space="preserve">, 656-679 </w:t>
      </w:r>
      <w:hyperlink r:id="rId61" w:history="1">
        <w:r w:rsidRPr="00D806D9">
          <w:rPr>
            <w:rStyle w:val="Hyperlink"/>
            <w:rFonts w:asciiTheme="majorBidi" w:eastAsia="Times New Roman" w:hAnsiTheme="majorBidi" w:cstheme="majorBidi"/>
            <w:sz w:val="24"/>
            <w:szCs w:val="24"/>
            <w:lang w:val="en-US" w:eastAsia="fr-FR" w:bidi="he-IL"/>
          </w:rPr>
          <w:t>Link</w:t>
        </w:r>
      </w:hyperlink>
    </w:p>
    <w:p w14:paraId="25648C6C" w14:textId="77777777" w:rsidR="00BF3924" w:rsidRPr="00D806D9" w:rsidRDefault="00BF3924"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679F192F" w14:textId="5F1D466F"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Ellerman, D. (</w:t>
      </w:r>
      <w:r w:rsidR="00FB2177" w:rsidRPr="00D806D9">
        <w:rPr>
          <w:rFonts w:asciiTheme="majorBidi" w:hAnsiTheme="majorBidi" w:cstheme="majorBidi"/>
          <w:sz w:val="24"/>
          <w:szCs w:val="24"/>
          <w:lang w:val="en-US"/>
        </w:rPr>
        <w:t>2009</w:t>
      </w:r>
      <w:r w:rsidRPr="00D806D9">
        <w:rPr>
          <w:rFonts w:asciiTheme="majorBidi" w:hAnsiTheme="majorBidi" w:cstheme="majorBidi"/>
          <w:sz w:val="24"/>
          <w:szCs w:val="24"/>
          <w:lang w:val="en-US"/>
        </w:rPr>
        <w:t xml:space="preserve">). The EU’s </w:t>
      </w:r>
      <w:r w:rsidR="0008234D"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missions </w:t>
      </w:r>
      <w:r w:rsidR="0008234D"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rading </w:t>
      </w:r>
      <w:r w:rsidR="0008234D" w:rsidRPr="00D806D9">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cheme: a </w:t>
      </w:r>
      <w:r w:rsidR="0008234D"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roto</w:t>
      </w:r>
      <w:r w:rsidR="00FB2177"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ype </w:t>
      </w:r>
      <w:r w:rsidR="00FB2177" w:rsidRPr="00D806D9">
        <w:rPr>
          <w:rFonts w:asciiTheme="majorBidi" w:hAnsiTheme="majorBidi" w:cstheme="majorBidi"/>
          <w:sz w:val="24"/>
          <w:szCs w:val="24"/>
          <w:lang w:val="en-US"/>
        </w:rPr>
        <w:t>G</w:t>
      </w:r>
      <w:r w:rsidRPr="00D806D9">
        <w:rPr>
          <w:rFonts w:asciiTheme="majorBidi" w:hAnsiTheme="majorBidi" w:cstheme="majorBidi"/>
          <w:sz w:val="24"/>
          <w:szCs w:val="24"/>
          <w:lang w:val="en-US"/>
        </w:rPr>
        <w:t xml:space="preserve">lobal </w:t>
      </w:r>
      <w:r w:rsidR="00FB2177" w:rsidRPr="00D806D9">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ystem?. </w:t>
      </w:r>
      <w:r w:rsidR="00FB2177" w:rsidRPr="00D806D9">
        <w:rPr>
          <w:rFonts w:asciiTheme="majorBidi" w:hAnsiTheme="majorBidi" w:cstheme="majorBidi"/>
          <w:sz w:val="24"/>
          <w:szCs w:val="24"/>
          <w:lang w:val="en-US"/>
        </w:rPr>
        <w:t xml:space="preserve">In: </w:t>
      </w:r>
      <w:r w:rsidRPr="00D806D9">
        <w:rPr>
          <w:rFonts w:asciiTheme="majorBidi" w:hAnsiTheme="majorBidi" w:cstheme="majorBidi"/>
          <w:sz w:val="24"/>
          <w:szCs w:val="24"/>
          <w:lang w:val="en-US"/>
        </w:rPr>
        <w:t>Post</w:t>
      </w:r>
      <w:r w:rsidR="0008234D"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Kyoto International Climate Policy, eds </w:t>
      </w:r>
      <w:proofErr w:type="spellStart"/>
      <w:r w:rsidRPr="00D806D9">
        <w:rPr>
          <w:rFonts w:asciiTheme="majorBidi" w:hAnsiTheme="majorBidi" w:cstheme="majorBidi"/>
          <w:sz w:val="24"/>
          <w:szCs w:val="24"/>
          <w:lang w:val="en-US"/>
        </w:rPr>
        <w:t>J.Aldy</w:t>
      </w:r>
      <w:proofErr w:type="spellEnd"/>
      <w:r w:rsidRPr="00D806D9">
        <w:rPr>
          <w:rFonts w:asciiTheme="majorBidi" w:hAnsiTheme="majorBidi" w:cstheme="majorBidi"/>
          <w:sz w:val="24"/>
          <w:szCs w:val="24"/>
          <w:lang w:val="en-US"/>
        </w:rPr>
        <w:t xml:space="preserve"> and R. </w:t>
      </w:r>
      <w:proofErr w:type="spellStart"/>
      <w:r w:rsidRPr="00D806D9">
        <w:rPr>
          <w:rFonts w:asciiTheme="majorBidi" w:hAnsiTheme="majorBidi" w:cstheme="majorBidi"/>
          <w:sz w:val="24"/>
          <w:szCs w:val="24"/>
          <w:lang w:val="en-US"/>
        </w:rPr>
        <w:t>N.Stavins</w:t>
      </w:r>
      <w:proofErr w:type="spellEnd"/>
      <w:r w:rsidR="00FB2177"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Cambridge University Press, 88-118.</w:t>
      </w:r>
      <w:r w:rsidR="006E6E69" w:rsidRPr="00D806D9">
        <w:rPr>
          <w:rFonts w:asciiTheme="majorBidi" w:hAnsiTheme="majorBidi" w:cstheme="majorBidi"/>
          <w:sz w:val="24"/>
          <w:szCs w:val="24"/>
          <w:lang w:val="en-US"/>
        </w:rPr>
        <w:t xml:space="preserve"> </w:t>
      </w:r>
      <w:hyperlink r:id="rId62" w:history="1">
        <w:r w:rsidR="006E6E69" w:rsidRPr="00D806D9">
          <w:rPr>
            <w:rStyle w:val="Hyperlink"/>
            <w:rFonts w:asciiTheme="majorBidi" w:hAnsiTheme="majorBidi" w:cstheme="majorBidi"/>
            <w:sz w:val="24"/>
            <w:szCs w:val="24"/>
            <w:lang w:val="en-US"/>
          </w:rPr>
          <w:t>Link</w:t>
        </w:r>
      </w:hyperlink>
    </w:p>
    <w:p w14:paraId="4C433DF9" w14:textId="77777777" w:rsidR="00BF3924" w:rsidRPr="00D806D9" w:rsidRDefault="00BF3924" w:rsidP="00003440">
      <w:pPr>
        <w:autoSpaceDE w:val="0"/>
        <w:autoSpaceDN w:val="0"/>
        <w:adjustRightInd w:val="0"/>
        <w:spacing w:after="0" w:line="240" w:lineRule="auto"/>
        <w:jc w:val="both"/>
        <w:rPr>
          <w:rFonts w:asciiTheme="majorBidi" w:hAnsiTheme="majorBidi" w:cstheme="majorBidi"/>
          <w:sz w:val="24"/>
          <w:szCs w:val="24"/>
          <w:lang w:val="en-US"/>
        </w:rPr>
      </w:pPr>
    </w:p>
    <w:p w14:paraId="5D960D9E" w14:textId="4AAD68E0"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bookmarkStart w:id="23" w:name="_Hlk110699513"/>
      <w:r w:rsidRPr="00D806D9">
        <w:rPr>
          <w:rFonts w:asciiTheme="majorBidi" w:hAnsiTheme="majorBidi" w:cstheme="majorBidi"/>
          <w:sz w:val="24"/>
          <w:szCs w:val="24"/>
          <w:lang w:val="en-US"/>
        </w:rPr>
        <w:t>Engstrom, F. (2013</w:t>
      </w:r>
      <w:bookmarkEnd w:id="23"/>
      <w:r w:rsidRPr="00D806D9">
        <w:rPr>
          <w:rFonts w:asciiTheme="majorBidi" w:hAnsiTheme="majorBidi" w:cstheme="majorBidi"/>
          <w:sz w:val="24"/>
          <w:szCs w:val="24"/>
          <w:lang w:val="en-US"/>
        </w:rPr>
        <w:t xml:space="preserve">). Corralling Capture. </w:t>
      </w:r>
      <w:r w:rsidRPr="00D806D9">
        <w:rPr>
          <w:rFonts w:asciiTheme="majorBidi" w:hAnsiTheme="majorBidi" w:cstheme="majorBidi"/>
          <w:i/>
          <w:iCs/>
          <w:sz w:val="24"/>
          <w:szCs w:val="24"/>
          <w:lang w:val="en-US"/>
        </w:rPr>
        <w:t>Harvard Journal of Law and Public Policy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36</w:t>
      </w:r>
      <w:r w:rsidRPr="00D806D9">
        <w:rPr>
          <w:rFonts w:asciiTheme="majorBidi" w:hAnsiTheme="majorBidi" w:cstheme="majorBidi"/>
          <w:sz w:val="24"/>
          <w:szCs w:val="24"/>
          <w:lang w:val="en-US"/>
        </w:rPr>
        <w:t xml:space="preserve">, 31-39. </w:t>
      </w:r>
      <w:hyperlink r:id="rId63" w:history="1">
        <w:r w:rsidRPr="00D806D9">
          <w:rPr>
            <w:rStyle w:val="Hyperlink"/>
            <w:rFonts w:asciiTheme="majorBidi" w:hAnsiTheme="majorBidi" w:cstheme="majorBidi"/>
            <w:sz w:val="24"/>
            <w:szCs w:val="24"/>
            <w:lang w:val="en-US"/>
          </w:rPr>
          <w:t>Link</w:t>
        </w:r>
      </w:hyperlink>
    </w:p>
    <w:p w14:paraId="799D3708" w14:textId="77777777" w:rsidR="00BF3924" w:rsidRPr="00D806D9" w:rsidRDefault="00BF3924" w:rsidP="00003440">
      <w:pPr>
        <w:autoSpaceDE w:val="0"/>
        <w:autoSpaceDN w:val="0"/>
        <w:adjustRightInd w:val="0"/>
        <w:spacing w:after="0" w:line="240" w:lineRule="auto"/>
        <w:jc w:val="both"/>
        <w:rPr>
          <w:rFonts w:asciiTheme="majorBidi" w:hAnsiTheme="majorBidi" w:cstheme="majorBidi"/>
          <w:sz w:val="24"/>
          <w:szCs w:val="24"/>
          <w:lang w:val="en-US"/>
        </w:rPr>
      </w:pPr>
    </w:p>
    <w:p w14:paraId="609555AA" w14:textId="5A9BB643" w:rsidR="00E60725" w:rsidRPr="00D806D9" w:rsidRDefault="00E60725" w:rsidP="00003440">
      <w:pPr>
        <w:shd w:val="clear" w:color="auto" w:fill="FFFFFF"/>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color w:val="000000"/>
          <w:sz w:val="24"/>
          <w:szCs w:val="24"/>
          <w:lang w:val="en-US" w:eastAsia="fr-FR" w:bidi="he-IL"/>
        </w:rPr>
        <w:lastRenderedPageBreak/>
        <w:t xml:space="preserve">EPC. (2003). </w:t>
      </w:r>
      <w:r w:rsidRPr="00D806D9">
        <w:rPr>
          <w:rFonts w:asciiTheme="majorBidi" w:eastAsia="Times New Roman" w:hAnsiTheme="majorBidi" w:cstheme="majorBidi"/>
          <w:i/>
          <w:iCs/>
          <w:color w:val="000000"/>
          <w:sz w:val="24"/>
          <w:szCs w:val="24"/>
          <w:lang w:val="en-US" w:eastAsia="fr-FR" w:bidi="he-IL"/>
        </w:rPr>
        <w:t>Directive 2003/87/EC Establishing a Scheme for Greenhouse Gas Emission Allowance Trading within the Community and amending Council Directive 96/61/EC</w:t>
      </w:r>
      <w:r w:rsidRPr="00D806D9">
        <w:rPr>
          <w:rFonts w:asciiTheme="majorBidi" w:eastAsia="Times New Roman" w:hAnsiTheme="majorBidi" w:cstheme="majorBidi"/>
          <w:color w:val="000000"/>
          <w:sz w:val="24"/>
          <w:szCs w:val="24"/>
          <w:lang w:val="en-US" w:eastAsia="fr-FR" w:bidi="he-IL"/>
        </w:rPr>
        <w:t xml:space="preserve">. Official Journal of the European Union. </w:t>
      </w:r>
      <w:hyperlink r:id="rId64" w:history="1">
        <w:r w:rsidRPr="00D806D9">
          <w:rPr>
            <w:rStyle w:val="Hyperlink"/>
            <w:rFonts w:asciiTheme="majorBidi" w:eastAsia="Times New Roman" w:hAnsiTheme="majorBidi" w:cstheme="majorBidi"/>
            <w:sz w:val="24"/>
            <w:szCs w:val="24"/>
            <w:lang w:val="en-US" w:eastAsia="fr-FR" w:bidi="he-IL"/>
          </w:rPr>
          <w:t>Link</w:t>
        </w:r>
      </w:hyperlink>
    </w:p>
    <w:p w14:paraId="22AC2087" w14:textId="77777777" w:rsidR="006E6E69" w:rsidRPr="00D806D9" w:rsidRDefault="006E6E69" w:rsidP="00003440">
      <w:pPr>
        <w:shd w:val="clear" w:color="auto" w:fill="FFFFFF"/>
        <w:spacing w:after="0" w:line="240" w:lineRule="auto"/>
        <w:jc w:val="both"/>
        <w:rPr>
          <w:rFonts w:asciiTheme="majorBidi" w:eastAsia="Times New Roman" w:hAnsiTheme="majorBidi" w:cstheme="majorBidi"/>
          <w:color w:val="000000"/>
          <w:sz w:val="24"/>
          <w:szCs w:val="24"/>
          <w:lang w:val="en-US" w:eastAsia="fr-FR" w:bidi="he-IL"/>
        </w:rPr>
      </w:pPr>
    </w:p>
    <w:p w14:paraId="5C0450D8" w14:textId="47F0E086" w:rsidR="00E60725" w:rsidRPr="00D806D9" w:rsidRDefault="00E60725" w:rsidP="00003440">
      <w:pPr>
        <w:shd w:val="clear" w:color="auto" w:fill="FFFFFF"/>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hAnsiTheme="majorBidi" w:cstheme="majorBidi"/>
          <w:sz w:val="24"/>
          <w:szCs w:val="24"/>
          <w:lang w:val="en-US"/>
        </w:rPr>
        <w:t xml:space="preserve">EPC. (2009). </w:t>
      </w:r>
      <w:r w:rsidRPr="00D806D9">
        <w:rPr>
          <w:rFonts w:asciiTheme="majorBidi" w:hAnsiTheme="majorBidi" w:cstheme="majorBidi"/>
          <w:i/>
          <w:iCs/>
          <w:sz w:val="24"/>
          <w:szCs w:val="24"/>
          <w:lang w:val="en-US"/>
        </w:rPr>
        <w:t>Directive 2009/29/EC of the European Parliament and of the Council of 23 April 2009 amending Directive 2003/87/EC so as to Improve and Extend the Greenhouse Gas Emission Allowance Trading Scheme of the Community</w:t>
      </w:r>
      <w:r w:rsidRPr="00D806D9">
        <w:rPr>
          <w:rFonts w:asciiTheme="majorBidi" w:hAnsiTheme="majorBidi" w:cstheme="majorBidi"/>
          <w:sz w:val="24"/>
          <w:szCs w:val="24"/>
          <w:lang w:val="en-US"/>
        </w:rPr>
        <w:t xml:space="preserve">. </w:t>
      </w:r>
      <w:r w:rsidRPr="00D806D9">
        <w:rPr>
          <w:rFonts w:asciiTheme="majorBidi" w:eastAsia="Times New Roman" w:hAnsiTheme="majorBidi" w:cstheme="majorBidi"/>
          <w:color w:val="000000"/>
          <w:sz w:val="24"/>
          <w:szCs w:val="24"/>
          <w:lang w:val="en-US" w:eastAsia="fr-FR" w:bidi="he-IL"/>
        </w:rPr>
        <w:t xml:space="preserve">Official Journal of the European Union. </w:t>
      </w:r>
      <w:hyperlink r:id="rId65" w:history="1">
        <w:r w:rsidRPr="00D806D9">
          <w:rPr>
            <w:rStyle w:val="Hyperlink"/>
            <w:rFonts w:asciiTheme="majorBidi" w:eastAsia="Times New Roman" w:hAnsiTheme="majorBidi" w:cstheme="majorBidi"/>
            <w:sz w:val="24"/>
            <w:szCs w:val="24"/>
            <w:lang w:val="en-US" w:eastAsia="fr-FR" w:bidi="he-IL"/>
          </w:rPr>
          <w:t>Link</w:t>
        </w:r>
      </w:hyperlink>
    </w:p>
    <w:p w14:paraId="09ED8AED" w14:textId="77777777" w:rsidR="006E6E69" w:rsidRPr="00D806D9" w:rsidRDefault="006E6E69" w:rsidP="00003440">
      <w:pPr>
        <w:shd w:val="clear" w:color="auto" w:fill="FFFFFF"/>
        <w:spacing w:after="0" w:line="240" w:lineRule="auto"/>
        <w:jc w:val="both"/>
        <w:rPr>
          <w:rFonts w:asciiTheme="majorBidi" w:eastAsia="Times New Roman" w:hAnsiTheme="majorBidi" w:cstheme="majorBidi"/>
          <w:color w:val="000000"/>
          <w:sz w:val="24"/>
          <w:szCs w:val="24"/>
          <w:lang w:val="en-US" w:eastAsia="fr-FR" w:bidi="he-IL"/>
        </w:rPr>
      </w:pPr>
    </w:p>
    <w:p w14:paraId="50CFBEC8" w14:textId="668740C4" w:rsidR="00E60725" w:rsidRPr="00D806D9" w:rsidRDefault="00E60725" w:rsidP="00003440">
      <w:pPr>
        <w:shd w:val="clear" w:color="auto" w:fill="FFFFFF"/>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EPC. (2015). </w:t>
      </w:r>
      <w:r w:rsidRPr="00D806D9">
        <w:rPr>
          <w:rFonts w:asciiTheme="majorBidi" w:hAnsiTheme="majorBidi" w:cstheme="majorBidi"/>
          <w:i/>
          <w:iCs/>
          <w:sz w:val="24"/>
          <w:szCs w:val="24"/>
          <w:lang w:val="en-US"/>
        </w:rPr>
        <w:t xml:space="preserve">Decision (EU) 2015/1814 of the European Parliament and of the Council of 6 October 2015 concerning the establishment and operation of a market stability reserve for the Union greenhouse gas emission trading scheme and amending Directive 2003/87/EC. </w:t>
      </w:r>
      <w:r w:rsidRPr="00D806D9">
        <w:rPr>
          <w:rFonts w:asciiTheme="majorBidi" w:eastAsia="Times New Roman" w:hAnsiTheme="majorBidi" w:cstheme="majorBidi"/>
          <w:color w:val="000000"/>
          <w:sz w:val="24"/>
          <w:szCs w:val="24"/>
          <w:lang w:val="en-US" w:eastAsia="fr-FR" w:bidi="he-IL"/>
        </w:rPr>
        <w:t xml:space="preserve">Official Journal of the European Union. </w:t>
      </w:r>
      <w:hyperlink r:id="rId66" w:history="1">
        <w:r w:rsidRPr="00D806D9">
          <w:rPr>
            <w:rStyle w:val="Hyperlink"/>
            <w:rFonts w:asciiTheme="majorBidi" w:eastAsia="Times New Roman" w:hAnsiTheme="majorBidi" w:cstheme="majorBidi"/>
            <w:sz w:val="24"/>
            <w:szCs w:val="24"/>
            <w:lang w:val="en-US" w:eastAsia="fr-FR" w:bidi="he-IL"/>
          </w:rPr>
          <w:t>Link</w:t>
        </w:r>
      </w:hyperlink>
    </w:p>
    <w:p w14:paraId="173F79DA" w14:textId="77777777" w:rsidR="006E6E69" w:rsidRPr="00D806D9" w:rsidRDefault="006E6E69" w:rsidP="00003440">
      <w:pPr>
        <w:shd w:val="clear" w:color="auto" w:fill="FFFFFF"/>
        <w:spacing w:after="0" w:line="240" w:lineRule="auto"/>
        <w:jc w:val="both"/>
        <w:rPr>
          <w:rFonts w:asciiTheme="majorBidi" w:eastAsia="Times New Roman" w:hAnsiTheme="majorBidi" w:cstheme="majorBidi"/>
          <w:color w:val="000000"/>
          <w:sz w:val="24"/>
          <w:szCs w:val="24"/>
          <w:lang w:val="en-US" w:eastAsia="fr-FR" w:bidi="he-IL"/>
        </w:rPr>
      </w:pPr>
    </w:p>
    <w:p w14:paraId="4CD6E708" w14:textId="03227691" w:rsidR="00E60725" w:rsidRPr="00D806D9" w:rsidRDefault="00E60725" w:rsidP="00003440">
      <w:pPr>
        <w:pStyle w:val="title-bold"/>
        <w:shd w:val="clear" w:color="auto" w:fill="FFFFFF"/>
        <w:spacing w:before="0" w:beforeAutospacing="0" w:after="0" w:afterAutospacing="0"/>
        <w:jc w:val="both"/>
        <w:rPr>
          <w:rStyle w:val="Hyperlink"/>
          <w:rFonts w:asciiTheme="majorBidi" w:eastAsiaTheme="minorHAnsi" w:hAnsiTheme="majorBidi" w:cstheme="majorBidi"/>
          <w:lang w:val="en-US" w:eastAsia="en-US"/>
        </w:rPr>
      </w:pPr>
      <w:r w:rsidRPr="00D806D9">
        <w:rPr>
          <w:rFonts w:asciiTheme="majorBidi" w:hAnsiTheme="majorBidi" w:cstheme="majorBidi"/>
          <w:color w:val="000000"/>
          <w:lang w:val="en-US"/>
        </w:rPr>
        <w:t>EPC.</w:t>
      </w:r>
      <w:r w:rsidRPr="00D806D9">
        <w:rPr>
          <w:rFonts w:asciiTheme="majorBidi" w:hAnsiTheme="majorBidi" w:cstheme="majorBidi"/>
          <w:lang w:val="en-US"/>
        </w:rPr>
        <w:t xml:space="preserve"> (2018). </w:t>
      </w:r>
      <w:r w:rsidRPr="00D806D9">
        <w:rPr>
          <w:rFonts w:asciiTheme="majorBidi" w:eastAsiaTheme="minorHAnsi" w:hAnsiTheme="majorBidi" w:cstheme="majorBidi"/>
          <w:i/>
          <w:iCs/>
          <w:color w:val="000000"/>
          <w:lang w:val="en-US" w:eastAsia="en-US"/>
        </w:rPr>
        <w:t>Directive (EU) 2018/410 of the European Parliament and of the Council of 14 March 2018 amending Directive 2003/87/EC to enhance cost-effective emission reductions and low-carbon investments, and Decision (EU) 2015/1814</w:t>
      </w:r>
      <w:r w:rsidR="006E6E69" w:rsidRPr="00D806D9">
        <w:rPr>
          <w:rFonts w:asciiTheme="majorBidi" w:eastAsiaTheme="minorHAnsi" w:hAnsiTheme="majorBidi" w:cstheme="majorBidi"/>
          <w:i/>
          <w:iCs/>
          <w:color w:val="000000"/>
          <w:lang w:val="en-US" w:eastAsia="en-US"/>
        </w:rPr>
        <w:t xml:space="preserve">. </w:t>
      </w:r>
      <w:r w:rsidRPr="00D806D9">
        <w:rPr>
          <w:rFonts w:asciiTheme="majorBidi" w:eastAsiaTheme="minorHAnsi" w:hAnsiTheme="majorBidi" w:cstheme="majorBidi"/>
          <w:color w:val="000000"/>
          <w:lang w:val="en-US" w:eastAsia="en-US"/>
        </w:rPr>
        <w:t xml:space="preserve">Official Journal of the European Union. </w:t>
      </w:r>
      <w:hyperlink r:id="rId67" w:history="1">
        <w:r w:rsidRPr="00D806D9">
          <w:rPr>
            <w:rStyle w:val="Hyperlink"/>
            <w:rFonts w:asciiTheme="majorBidi" w:eastAsiaTheme="minorHAnsi" w:hAnsiTheme="majorBidi" w:cstheme="majorBidi"/>
            <w:lang w:val="en-US" w:eastAsia="en-US"/>
          </w:rPr>
          <w:t>Link</w:t>
        </w:r>
      </w:hyperlink>
    </w:p>
    <w:p w14:paraId="1CAF28EA" w14:textId="77777777" w:rsidR="006E6E69" w:rsidRPr="00D806D9" w:rsidRDefault="006E6E69" w:rsidP="00003440">
      <w:pPr>
        <w:pStyle w:val="title-bold"/>
        <w:shd w:val="clear" w:color="auto" w:fill="FFFFFF"/>
        <w:spacing w:before="0" w:beforeAutospacing="0" w:after="0" w:afterAutospacing="0"/>
        <w:jc w:val="both"/>
        <w:rPr>
          <w:rFonts w:asciiTheme="majorBidi" w:eastAsiaTheme="minorHAnsi" w:hAnsiTheme="majorBidi" w:cstheme="majorBidi"/>
          <w:color w:val="000000"/>
          <w:lang w:val="en-US" w:eastAsia="en-US"/>
        </w:rPr>
      </w:pPr>
    </w:p>
    <w:p w14:paraId="6B69F8B8" w14:textId="06C16045" w:rsidR="00E60725" w:rsidRPr="00D806D9" w:rsidRDefault="00E60725" w:rsidP="00003440">
      <w:pPr>
        <w:pStyle w:val="Default"/>
        <w:jc w:val="both"/>
        <w:rPr>
          <w:rStyle w:val="Hyperlink"/>
          <w:rFonts w:asciiTheme="majorBidi" w:hAnsiTheme="majorBidi" w:cstheme="majorBidi"/>
          <w:lang w:val="en-US" w:bidi="ar-SA"/>
        </w:rPr>
      </w:pPr>
      <w:r w:rsidRPr="00D806D9">
        <w:rPr>
          <w:rFonts w:asciiTheme="majorBidi" w:eastAsia="Times New Roman" w:hAnsiTheme="majorBidi" w:cstheme="majorBidi"/>
          <w:lang w:val="en-US" w:eastAsia="fr-FR"/>
        </w:rPr>
        <w:t xml:space="preserve">European </w:t>
      </w:r>
      <w:proofErr w:type="spellStart"/>
      <w:r w:rsidRPr="00D806D9">
        <w:rPr>
          <w:rFonts w:asciiTheme="majorBidi" w:eastAsia="Times New Roman" w:hAnsiTheme="majorBidi" w:cstheme="majorBidi"/>
          <w:lang w:val="en-US" w:eastAsia="fr-FR"/>
        </w:rPr>
        <w:t>Aluminium</w:t>
      </w:r>
      <w:proofErr w:type="spellEnd"/>
      <w:r w:rsidRPr="00D806D9">
        <w:rPr>
          <w:rFonts w:asciiTheme="majorBidi" w:eastAsia="Times New Roman" w:hAnsiTheme="majorBidi" w:cstheme="majorBidi"/>
          <w:lang w:val="en-US" w:eastAsia="fr-FR"/>
        </w:rPr>
        <w:t xml:space="preserve">. (2022). </w:t>
      </w:r>
      <w:r w:rsidRPr="00D806D9">
        <w:rPr>
          <w:rFonts w:asciiTheme="majorBidi" w:eastAsia="Times New Roman" w:hAnsiTheme="majorBidi" w:cstheme="majorBidi"/>
          <w:i/>
          <w:iCs/>
          <w:lang w:val="en-US" w:eastAsia="fr-FR"/>
        </w:rPr>
        <w:t xml:space="preserve">Reconciling Growth and </w:t>
      </w:r>
      <w:proofErr w:type="spellStart"/>
      <w:r w:rsidRPr="00D806D9">
        <w:rPr>
          <w:rFonts w:asciiTheme="majorBidi" w:eastAsia="Times New Roman" w:hAnsiTheme="majorBidi" w:cstheme="majorBidi"/>
          <w:i/>
          <w:iCs/>
          <w:lang w:val="en-US" w:eastAsia="fr-FR"/>
        </w:rPr>
        <w:t>Decarbonisation</w:t>
      </w:r>
      <w:proofErr w:type="spellEnd"/>
      <w:r w:rsidRPr="00D806D9">
        <w:rPr>
          <w:rFonts w:asciiTheme="majorBidi" w:eastAsia="Times New Roman" w:hAnsiTheme="majorBidi" w:cstheme="majorBidi"/>
          <w:i/>
          <w:iCs/>
          <w:lang w:val="en-US" w:eastAsia="fr-FR"/>
        </w:rPr>
        <w:t xml:space="preserve"> Amidst the</w:t>
      </w:r>
      <w:r w:rsidRPr="00D806D9">
        <w:rPr>
          <w:rFonts w:asciiTheme="majorBidi" w:hAnsiTheme="majorBidi" w:cstheme="majorBidi"/>
          <w:i/>
          <w:iCs/>
          <w:color w:val="auto"/>
          <w:lang w:val="en-US" w:bidi="ar-SA"/>
        </w:rPr>
        <w:t xml:space="preserve"> Energy Crisis, European </w:t>
      </w:r>
      <w:proofErr w:type="spellStart"/>
      <w:r w:rsidRPr="00D806D9">
        <w:rPr>
          <w:rFonts w:asciiTheme="majorBidi" w:hAnsiTheme="majorBidi" w:cstheme="majorBidi"/>
          <w:i/>
          <w:iCs/>
          <w:color w:val="auto"/>
          <w:lang w:val="en-US" w:bidi="ar-SA"/>
        </w:rPr>
        <w:t>Aluminium</w:t>
      </w:r>
      <w:proofErr w:type="spellEnd"/>
      <w:r w:rsidRPr="00D806D9">
        <w:rPr>
          <w:rFonts w:asciiTheme="majorBidi" w:hAnsiTheme="majorBidi" w:cstheme="majorBidi"/>
          <w:i/>
          <w:iCs/>
          <w:color w:val="auto"/>
          <w:lang w:val="en-US" w:bidi="ar-SA"/>
        </w:rPr>
        <w:t xml:space="preserve"> Reaction to the RePowerEU Plan</w:t>
      </w:r>
      <w:r w:rsidRPr="00D806D9">
        <w:rPr>
          <w:rFonts w:asciiTheme="majorBidi" w:hAnsiTheme="majorBidi" w:cstheme="majorBidi"/>
          <w:color w:val="auto"/>
          <w:lang w:val="en-US" w:bidi="ar-SA"/>
        </w:rPr>
        <w:t xml:space="preserve">. </w:t>
      </w:r>
      <w:hyperlink r:id="rId68" w:history="1">
        <w:r w:rsidRPr="00D806D9">
          <w:rPr>
            <w:rStyle w:val="Hyperlink"/>
            <w:rFonts w:asciiTheme="majorBidi" w:hAnsiTheme="majorBidi" w:cstheme="majorBidi"/>
            <w:lang w:val="en-US" w:bidi="ar-SA"/>
          </w:rPr>
          <w:t>Link</w:t>
        </w:r>
      </w:hyperlink>
    </w:p>
    <w:p w14:paraId="4396E094" w14:textId="77777777" w:rsidR="006E6E69" w:rsidRPr="00D806D9" w:rsidRDefault="006E6E69" w:rsidP="00003440">
      <w:pPr>
        <w:pStyle w:val="Default"/>
        <w:jc w:val="both"/>
        <w:rPr>
          <w:rFonts w:asciiTheme="majorBidi" w:hAnsiTheme="majorBidi" w:cstheme="majorBidi"/>
          <w:lang w:val="en-US"/>
        </w:rPr>
      </w:pPr>
    </w:p>
    <w:p w14:paraId="5B778A60" w14:textId="0E32595F" w:rsidR="00E60725" w:rsidRPr="00D806D9" w:rsidRDefault="00E60725" w:rsidP="00003440">
      <w:pPr>
        <w:pStyle w:val="doc-ti"/>
        <w:shd w:val="clear" w:color="auto" w:fill="FFFFFF"/>
        <w:spacing w:before="0" w:beforeAutospacing="0" w:after="0" w:afterAutospacing="0"/>
        <w:jc w:val="both"/>
        <w:rPr>
          <w:rStyle w:val="Hyperlink"/>
          <w:rFonts w:asciiTheme="majorBidi" w:hAnsiTheme="majorBidi" w:cstheme="majorBidi"/>
          <w:lang w:val="en-US"/>
        </w:rPr>
      </w:pPr>
      <w:r w:rsidRPr="00D806D9">
        <w:rPr>
          <w:rFonts w:asciiTheme="majorBidi" w:hAnsiTheme="majorBidi" w:cstheme="majorBidi"/>
          <w:lang w:val="en-US"/>
        </w:rPr>
        <w:t xml:space="preserve">Eurostat. (2020). </w:t>
      </w:r>
      <w:r w:rsidRPr="00D806D9">
        <w:rPr>
          <w:rFonts w:asciiTheme="majorBidi" w:hAnsiTheme="majorBidi" w:cstheme="majorBidi"/>
          <w:i/>
          <w:iCs/>
          <w:lang w:val="en-US"/>
        </w:rPr>
        <w:t>Energy, Transport and Environment Statistics Edition 2020</w:t>
      </w:r>
      <w:r w:rsidRPr="00D806D9">
        <w:rPr>
          <w:rFonts w:asciiTheme="majorBidi" w:hAnsiTheme="majorBidi" w:cstheme="majorBidi"/>
          <w:lang w:val="en-US"/>
        </w:rPr>
        <w:t xml:space="preserve">. </w:t>
      </w:r>
      <w:hyperlink r:id="rId69" w:history="1">
        <w:r w:rsidRPr="00D806D9">
          <w:rPr>
            <w:rStyle w:val="Hyperlink"/>
            <w:rFonts w:asciiTheme="majorBidi" w:hAnsiTheme="majorBidi" w:cstheme="majorBidi"/>
            <w:lang w:val="en-US"/>
          </w:rPr>
          <w:t>Link</w:t>
        </w:r>
      </w:hyperlink>
    </w:p>
    <w:p w14:paraId="3C9B4F8E" w14:textId="77777777" w:rsidR="006E6E69" w:rsidRPr="00D806D9" w:rsidRDefault="006E6E69" w:rsidP="00003440">
      <w:pPr>
        <w:pStyle w:val="doc-ti"/>
        <w:shd w:val="clear" w:color="auto" w:fill="FFFFFF"/>
        <w:spacing w:before="0" w:beforeAutospacing="0" w:after="0" w:afterAutospacing="0"/>
        <w:jc w:val="both"/>
        <w:rPr>
          <w:rFonts w:asciiTheme="majorBidi" w:hAnsiTheme="majorBidi" w:cstheme="majorBidi"/>
          <w:lang w:val="en-US"/>
        </w:rPr>
      </w:pPr>
    </w:p>
    <w:p w14:paraId="1404757F" w14:textId="77777777" w:rsidR="00E60725" w:rsidRPr="00D806D9" w:rsidRDefault="00E60725" w:rsidP="00003440">
      <w:pPr>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Faure, M.G., &amp; Partain, R.A. (2019). </w:t>
      </w:r>
      <w:r w:rsidRPr="00D806D9">
        <w:rPr>
          <w:rFonts w:asciiTheme="majorBidi" w:hAnsiTheme="majorBidi" w:cstheme="majorBidi"/>
          <w:i/>
          <w:iCs/>
          <w:sz w:val="24"/>
          <w:szCs w:val="24"/>
          <w:lang w:val="en-US"/>
        </w:rPr>
        <w:t>Environmental Law and Economics, Theory and Practice</w:t>
      </w:r>
      <w:r w:rsidRPr="00D806D9">
        <w:rPr>
          <w:rFonts w:asciiTheme="majorBidi" w:hAnsiTheme="majorBidi" w:cstheme="majorBidi"/>
          <w:sz w:val="24"/>
          <w:szCs w:val="24"/>
          <w:lang w:val="en-US"/>
        </w:rPr>
        <w:t>. Cambridge University Press.</w:t>
      </w:r>
    </w:p>
    <w:p w14:paraId="0A1C3CD7" w14:textId="77777777" w:rsidR="00E60725" w:rsidRPr="00D806D9" w:rsidRDefault="00E60725" w:rsidP="00003440">
      <w:pPr>
        <w:spacing w:after="0" w:line="240" w:lineRule="auto"/>
        <w:jc w:val="both"/>
        <w:rPr>
          <w:rFonts w:asciiTheme="majorBidi" w:hAnsiTheme="majorBidi" w:cstheme="majorBidi"/>
          <w:sz w:val="24"/>
          <w:szCs w:val="24"/>
          <w:lang w:val="en-US"/>
        </w:rPr>
      </w:pPr>
    </w:p>
    <w:p w14:paraId="7856C451" w14:textId="20568A51" w:rsidR="00E60725" w:rsidRPr="00D806D9" w:rsidRDefault="00E60725" w:rsidP="00471FC1">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Fields, M., &amp; </w:t>
      </w:r>
      <w:proofErr w:type="spellStart"/>
      <w:r w:rsidRPr="00D806D9">
        <w:rPr>
          <w:rFonts w:asciiTheme="majorBidi" w:hAnsiTheme="majorBidi" w:cstheme="majorBidi"/>
          <w:sz w:val="24"/>
          <w:szCs w:val="24"/>
          <w:lang w:val="en-US"/>
        </w:rPr>
        <w:t>Lindequist</w:t>
      </w:r>
      <w:proofErr w:type="spellEnd"/>
      <w:r w:rsidRPr="00D806D9">
        <w:rPr>
          <w:rFonts w:asciiTheme="majorBidi" w:hAnsiTheme="majorBidi" w:cstheme="majorBidi"/>
          <w:sz w:val="24"/>
          <w:szCs w:val="24"/>
          <w:lang w:val="en-US"/>
        </w:rPr>
        <w:t>, D. (2022). Global Spillovers of US Climate Policy Risk: Evidence</w:t>
      </w:r>
      <w:r w:rsidRPr="00D806D9">
        <w:rPr>
          <w:rFonts w:asciiTheme="majorBidi" w:hAnsiTheme="majorBidi" w:cstheme="majorBidi"/>
          <w:color w:val="505050"/>
          <w:sz w:val="24"/>
          <w:szCs w:val="24"/>
          <w:shd w:val="clear" w:color="auto" w:fill="FFFFFF"/>
          <w:lang w:val="en-US"/>
        </w:rPr>
        <w:t xml:space="preserve"> </w:t>
      </w:r>
      <w:r w:rsidRPr="00D806D9">
        <w:rPr>
          <w:rFonts w:asciiTheme="majorBidi" w:hAnsiTheme="majorBidi" w:cstheme="majorBidi"/>
          <w:sz w:val="24"/>
          <w:szCs w:val="24"/>
          <w:lang w:val="en-US"/>
        </w:rPr>
        <w:t xml:space="preserve">from EU Carbon Emissions Futures. </w:t>
      </w:r>
      <w:hyperlink r:id="rId70" w:history="1">
        <w:r w:rsidR="00471FC1" w:rsidRPr="00D806D9">
          <w:rPr>
            <w:rStyle w:val="Hyperlink"/>
            <w:rFonts w:asciiTheme="majorBidi" w:hAnsiTheme="majorBidi" w:cstheme="majorBidi"/>
            <w:sz w:val="24"/>
            <w:szCs w:val="24"/>
            <w:lang w:val="en-US"/>
          </w:rPr>
          <w:t>Link</w:t>
        </w:r>
      </w:hyperlink>
    </w:p>
    <w:p w14:paraId="3437D31A" w14:textId="77777777" w:rsidR="006E6E69" w:rsidRPr="00D806D9" w:rsidRDefault="006E6E69" w:rsidP="00003440">
      <w:pPr>
        <w:autoSpaceDE w:val="0"/>
        <w:autoSpaceDN w:val="0"/>
        <w:adjustRightInd w:val="0"/>
        <w:spacing w:after="0" w:line="240" w:lineRule="auto"/>
        <w:jc w:val="both"/>
        <w:rPr>
          <w:rFonts w:asciiTheme="majorBidi" w:hAnsiTheme="majorBidi" w:cstheme="majorBidi"/>
          <w:sz w:val="24"/>
          <w:szCs w:val="24"/>
          <w:lang w:val="en-US"/>
        </w:rPr>
      </w:pPr>
    </w:p>
    <w:p w14:paraId="33B64AD1" w14:textId="5CAA6921" w:rsidR="00E60725" w:rsidRPr="00D806D9" w:rsidRDefault="00E60725" w:rsidP="00003440">
      <w:pPr>
        <w:pStyle w:val="FootnoteText"/>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Fischer, C., &amp; Newell, R.G. (2008). Environmental and Technology Policies for Climate Mitigation. </w:t>
      </w:r>
      <w:r w:rsidRPr="00D806D9">
        <w:rPr>
          <w:rFonts w:asciiTheme="majorBidi" w:eastAsia="Times New Roman" w:hAnsiTheme="majorBidi" w:cstheme="majorBidi"/>
          <w:i/>
          <w:iCs/>
          <w:color w:val="000000"/>
          <w:sz w:val="24"/>
          <w:szCs w:val="24"/>
          <w:lang w:val="en-US" w:eastAsia="fr-FR" w:bidi="he-IL"/>
        </w:rPr>
        <w:t>Journal of Environmental Economics and Management</w:t>
      </w:r>
      <w:r w:rsidRPr="00D806D9">
        <w:rPr>
          <w:rFonts w:asciiTheme="majorBidi" w:eastAsia="Times New Roman" w:hAnsiTheme="majorBidi" w:cstheme="majorBidi"/>
          <w:color w:val="000000"/>
          <w:sz w:val="24"/>
          <w:szCs w:val="24"/>
          <w:lang w:val="en-US" w:eastAsia="fr-FR" w:bidi="he-IL"/>
        </w:rPr>
        <w:t xml:space="preserve">, </w:t>
      </w:r>
      <w:r w:rsidRPr="00D806D9">
        <w:rPr>
          <w:rFonts w:asciiTheme="majorBidi" w:eastAsia="Times New Roman" w:hAnsiTheme="majorBidi" w:cstheme="majorBidi"/>
          <w:i/>
          <w:iCs/>
          <w:color w:val="000000"/>
          <w:sz w:val="24"/>
          <w:szCs w:val="24"/>
          <w:lang w:val="en-US" w:eastAsia="fr-FR" w:bidi="he-IL"/>
        </w:rPr>
        <w:t>55</w:t>
      </w:r>
      <w:r w:rsidRPr="00D806D9">
        <w:rPr>
          <w:rFonts w:asciiTheme="majorBidi" w:eastAsia="Times New Roman" w:hAnsiTheme="majorBidi" w:cstheme="majorBidi"/>
          <w:color w:val="000000"/>
          <w:sz w:val="24"/>
          <w:szCs w:val="24"/>
          <w:lang w:val="en-US" w:eastAsia="fr-FR" w:bidi="he-IL"/>
        </w:rPr>
        <w:t xml:space="preserve">, 142-162. </w:t>
      </w:r>
      <w:hyperlink r:id="rId71" w:history="1">
        <w:r w:rsidRPr="00D806D9">
          <w:rPr>
            <w:rStyle w:val="Hyperlink"/>
            <w:rFonts w:asciiTheme="majorBidi" w:eastAsia="Times New Roman" w:hAnsiTheme="majorBidi" w:cstheme="majorBidi"/>
            <w:sz w:val="24"/>
            <w:szCs w:val="24"/>
            <w:lang w:val="en-US" w:eastAsia="fr-FR" w:bidi="he-IL"/>
          </w:rPr>
          <w:t>Link</w:t>
        </w:r>
      </w:hyperlink>
      <w:r w:rsidRPr="00D806D9">
        <w:rPr>
          <w:rFonts w:asciiTheme="majorBidi" w:eastAsia="Times New Roman" w:hAnsiTheme="majorBidi" w:cstheme="majorBidi"/>
          <w:color w:val="000000"/>
          <w:sz w:val="24"/>
          <w:szCs w:val="24"/>
          <w:lang w:val="en-US" w:eastAsia="fr-FR" w:bidi="he-IL"/>
        </w:rPr>
        <w:t xml:space="preserve"> (accessed on July 2</w:t>
      </w:r>
      <w:r w:rsidRPr="00D806D9">
        <w:rPr>
          <w:rFonts w:asciiTheme="majorBidi" w:eastAsia="Times New Roman" w:hAnsiTheme="majorBidi" w:cstheme="majorBidi"/>
          <w:color w:val="000000"/>
          <w:sz w:val="24"/>
          <w:szCs w:val="24"/>
          <w:vertAlign w:val="superscript"/>
          <w:lang w:val="en-US" w:eastAsia="fr-FR" w:bidi="he-IL"/>
        </w:rPr>
        <w:t>nd</w:t>
      </w:r>
      <w:r w:rsidRPr="00D806D9">
        <w:rPr>
          <w:rFonts w:asciiTheme="majorBidi" w:eastAsia="Times New Roman" w:hAnsiTheme="majorBidi" w:cstheme="majorBidi"/>
          <w:color w:val="000000"/>
          <w:sz w:val="24"/>
          <w:szCs w:val="24"/>
          <w:lang w:val="en-US" w:eastAsia="fr-FR" w:bidi="he-IL"/>
        </w:rPr>
        <w:t xml:space="preserve"> 2022)</w:t>
      </w:r>
    </w:p>
    <w:p w14:paraId="10900B48" w14:textId="77777777" w:rsidR="006E6E69" w:rsidRPr="00D806D9" w:rsidRDefault="006E6E69" w:rsidP="00003440">
      <w:pPr>
        <w:pStyle w:val="FootnoteText"/>
        <w:jc w:val="both"/>
        <w:rPr>
          <w:rFonts w:asciiTheme="majorBidi" w:eastAsia="Times New Roman" w:hAnsiTheme="majorBidi" w:cstheme="majorBidi"/>
          <w:color w:val="000000"/>
          <w:sz w:val="24"/>
          <w:szCs w:val="24"/>
          <w:lang w:val="en-US" w:eastAsia="fr-FR" w:bidi="he-IL"/>
        </w:rPr>
      </w:pPr>
    </w:p>
    <w:p w14:paraId="73610346" w14:textId="1AFE83F6" w:rsidR="00E60725" w:rsidRPr="00397B73" w:rsidRDefault="00E60725" w:rsidP="00003440">
      <w:pPr>
        <w:spacing w:after="0" w:line="240" w:lineRule="auto"/>
        <w:jc w:val="both"/>
        <w:rPr>
          <w:rStyle w:val="Hyperlink"/>
          <w:rFonts w:asciiTheme="majorBidi" w:hAnsiTheme="majorBidi" w:cstheme="majorBidi"/>
          <w:sz w:val="24"/>
          <w:szCs w:val="24"/>
        </w:rPr>
      </w:pPr>
      <w:r w:rsidRPr="00D806D9">
        <w:rPr>
          <w:rFonts w:asciiTheme="majorBidi" w:hAnsiTheme="majorBidi" w:cstheme="majorBidi"/>
          <w:sz w:val="24"/>
          <w:szCs w:val="24"/>
          <w:lang w:val="en-US"/>
        </w:rPr>
        <w:t>Forster, P.</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M., Forster, H.</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I., Evans, M.</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J., Gidden, M.J., Jones, C.</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D., Keller, C.</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A., </w:t>
      </w:r>
      <w:proofErr w:type="spellStart"/>
      <w:r w:rsidRPr="00D806D9">
        <w:rPr>
          <w:rFonts w:asciiTheme="majorBidi" w:hAnsiTheme="majorBidi" w:cstheme="majorBidi"/>
          <w:sz w:val="24"/>
          <w:szCs w:val="24"/>
          <w:lang w:val="en-US"/>
        </w:rPr>
        <w:t>Lamboll</w:t>
      </w:r>
      <w:proofErr w:type="spellEnd"/>
      <w:r w:rsidRPr="00D806D9">
        <w:rPr>
          <w:rFonts w:asciiTheme="majorBidi" w:hAnsiTheme="majorBidi" w:cstheme="majorBidi"/>
          <w:sz w:val="24"/>
          <w:szCs w:val="24"/>
          <w:lang w:val="en-US"/>
        </w:rPr>
        <w:t>, R.</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D., Le </w:t>
      </w:r>
      <w:proofErr w:type="spellStart"/>
      <w:r w:rsidRPr="00D806D9">
        <w:rPr>
          <w:rFonts w:asciiTheme="majorBidi" w:hAnsiTheme="majorBidi" w:cstheme="majorBidi"/>
          <w:sz w:val="24"/>
          <w:szCs w:val="24"/>
          <w:lang w:val="en-US"/>
        </w:rPr>
        <w:t>Quéré</w:t>
      </w:r>
      <w:proofErr w:type="spellEnd"/>
      <w:r w:rsidRPr="00D806D9">
        <w:rPr>
          <w:rFonts w:asciiTheme="majorBidi" w:hAnsiTheme="majorBidi" w:cstheme="majorBidi"/>
          <w:sz w:val="24"/>
          <w:szCs w:val="24"/>
          <w:lang w:val="en-US"/>
        </w:rPr>
        <w:t xml:space="preserve">, C., </w:t>
      </w:r>
      <w:proofErr w:type="spellStart"/>
      <w:r w:rsidRPr="00D806D9">
        <w:rPr>
          <w:rFonts w:asciiTheme="majorBidi" w:hAnsiTheme="majorBidi" w:cstheme="majorBidi"/>
          <w:sz w:val="24"/>
          <w:szCs w:val="24"/>
          <w:lang w:val="en-US"/>
        </w:rPr>
        <w:t>Rogelj</w:t>
      </w:r>
      <w:proofErr w:type="spellEnd"/>
      <w:r w:rsidRPr="00D806D9">
        <w:rPr>
          <w:rFonts w:asciiTheme="majorBidi" w:hAnsiTheme="majorBidi" w:cstheme="majorBidi"/>
          <w:sz w:val="24"/>
          <w:szCs w:val="24"/>
          <w:lang w:val="en-US"/>
        </w:rPr>
        <w:t xml:space="preserve">, J., Rosen, D., </w:t>
      </w:r>
      <w:proofErr w:type="spellStart"/>
      <w:r w:rsidRPr="00D806D9">
        <w:rPr>
          <w:rFonts w:asciiTheme="majorBidi" w:hAnsiTheme="majorBidi" w:cstheme="majorBidi"/>
          <w:sz w:val="24"/>
          <w:szCs w:val="24"/>
          <w:lang w:val="en-US"/>
        </w:rPr>
        <w:t>Schleussner</w:t>
      </w:r>
      <w:proofErr w:type="spellEnd"/>
      <w:r w:rsidRPr="00D806D9">
        <w:rPr>
          <w:rFonts w:asciiTheme="majorBidi" w:hAnsiTheme="majorBidi" w:cstheme="majorBidi"/>
          <w:sz w:val="24"/>
          <w:szCs w:val="24"/>
          <w:lang w:val="en-US"/>
        </w:rPr>
        <w:t>, C-F</w:t>
      </w:r>
      <w:r w:rsidR="000E6196"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Richardson, T.</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B., Smith, C.</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J.</w:t>
      </w:r>
      <w:r w:rsidR="000E6196"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&amp; </w:t>
      </w:r>
      <w:proofErr w:type="spellStart"/>
      <w:r w:rsidRPr="00D806D9">
        <w:rPr>
          <w:rFonts w:asciiTheme="majorBidi" w:hAnsiTheme="majorBidi" w:cstheme="majorBidi"/>
          <w:sz w:val="24"/>
          <w:szCs w:val="24"/>
          <w:lang w:val="en-US"/>
        </w:rPr>
        <w:t>Turnock</w:t>
      </w:r>
      <w:proofErr w:type="spellEnd"/>
      <w:r w:rsidRPr="00D806D9">
        <w:rPr>
          <w:rFonts w:asciiTheme="majorBidi" w:hAnsiTheme="majorBidi" w:cstheme="majorBidi"/>
          <w:sz w:val="24"/>
          <w:szCs w:val="24"/>
          <w:lang w:val="en-US"/>
        </w:rPr>
        <w:t>, S.</w:t>
      </w:r>
      <w:r w:rsidR="000E6196"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T. (2020). Current and Future Global Climate Impacts Resulting from COVID-19, </w:t>
      </w:r>
      <w:r w:rsidRPr="00D806D9">
        <w:rPr>
          <w:rFonts w:asciiTheme="majorBidi" w:hAnsiTheme="majorBidi" w:cstheme="majorBidi"/>
          <w:i/>
          <w:iCs/>
          <w:sz w:val="24"/>
          <w:szCs w:val="24"/>
          <w:lang w:val="en-US"/>
        </w:rPr>
        <w:t>Nature Climate Change</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10</w:t>
      </w:r>
      <w:r w:rsidRPr="00D806D9">
        <w:rPr>
          <w:rFonts w:asciiTheme="majorBidi" w:hAnsiTheme="majorBidi" w:cstheme="majorBidi"/>
          <w:sz w:val="24"/>
          <w:szCs w:val="24"/>
          <w:lang w:val="en-US"/>
        </w:rPr>
        <w:t xml:space="preserve">, 913-919. </w:t>
      </w:r>
      <w:hyperlink r:id="rId72" w:history="1">
        <w:r w:rsidRPr="00397B73">
          <w:rPr>
            <w:rStyle w:val="Hyperlink"/>
            <w:rFonts w:asciiTheme="majorBidi" w:hAnsiTheme="majorBidi" w:cstheme="majorBidi"/>
            <w:sz w:val="24"/>
            <w:szCs w:val="24"/>
          </w:rPr>
          <w:t>Link</w:t>
        </w:r>
      </w:hyperlink>
    </w:p>
    <w:p w14:paraId="7CE92ABA" w14:textId="77777777" w:rsidR="006E6E69" w:rsidRPr="00397B73" w:rsidRDefault="006E6E69" w:rsidP="00003440">
      <w:pPr>
        <w:spacing w:after="0" w:line="240" w:lineRule="auto"/>
        <w:jc w:val="both"/>
        <w:rPr>
          <w:rStyle w:val="Hyperlink"/>
          <w:rFonts w:asciiTheme="majorBidi" w:hAnsiTheme="majorBidi" w:cstheme="majorBidi"/>
          <w:sz w:val="24"/>
          <w:szCs w:val="24"/>
        </w:rPr>
      </w:pPr>
    </w:p>
    <w:p w14:paraId="6BC77BFA" w14:textId="77777777"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bookmarkStart w:id="24" w:name="_Hlk110785949"/>
      <w:bookmarkStart w:id="25" w:name="_Hlk110706155"/>
      <w:proofErr w:type="spellStart"/>
      <w:r w:rsidRPr="00397B73">
        <w:rPr>
          <w:rFonts w:asciiTheme="majorBidi" w:eastAsia="Times New Roman" w:hAnsiTheme="majorBidi" w:cstheme="majorBidi"/>
          <w:sz w:val="24"/>
          <w:szCs w:val="24"/>
          <w:lang w:eastAsia="fr-FR" w:bidi="he-IL"/>
        </w:rPr>
        <w:t>Fressoz</w:t>
      </w:r>
      <w:proofErr w:type="spellEnd"/>
      <w:r w:rsidRPr="00397B73">
        <w:rPr>
          <w:rFonts w:asciiTheme="majorBidi" w:eastAsia="Times New Roman" w:hAnsiTheme="majorBidi" w:cstheme="majorBidi"/>
          <w:sz w:val="24"/>
          <w:szCs w:val="24"/>
          <w:lang w:eastAsia="fr-FR" w:bidi="he-IL"/>
        </w:rPr>
        <w:t xml:space="preserve">, J-B., &amp; Locher, F. (2020). </w:t>
      </w:r>
      <w:r w:rsidRPr="00397B73">
        <w:rPr>
          <w:rFonts w:asciiTheme="majorBidi" w:eastAsia="Times New Roman" w:hAnsiTheme="majorBidi" w:cstheme="majorBidi"/>
          <w:i/>
          <w:iCs/>
          <w:sz w:val="24"/>
          <w:szCs w:val="24"/>
          <w:lang w:eastAsia="fr-FR" w:bidi="he-IL"/>
        </w:rPr>
        <w:t>Les Révoltes du ciel, Une histoire du changement climatique XVe-XXe siècle</w:t>
      </w:r>
      <w:r w:rsidRPr="00397B73">
        <w:rPr>
          <w:rFonts w:asciiTheme="majorBidi" w:eastAsia="Times New Roman" w:hAnsiTheme="majorBidi" w:cstheme="majorBidi"/>
          <w:sz w:val="24"/>
          <w:szCs w:val="24"/>
          <w:lang w:eastAsia="fr-FR" w:bidi="he-IL"/>
        </w:rPr>
        <w:t xml:space="preserve">. </w:t>
      </w:r>
      <w:proofErr w:type="spellStart"/>
      <w:r w:rsidRPr="00D806D9">
        <w:rPr>
          <w:rFonts w:asciiTheme="majorBidi" w:eastAsia="Times New Roman" w:hAnsiTheme="majorBidi" w:cstheme="majorBidi"/>
          <w:sz w:val="24"/>
          <w:szCs w:val="24"/>
          <w:lang w:val="en-US" w:eastAsia="fr-FR" w:bidi="he-IL"/>
        </w:rPr>
        <w:t>Seuil</w:t>
      </w:r>
      <w:proofErr w:type="spellEnd"/>
      <w:r w:rsidRPr="00D806D9">
        <w:rPr>
          <w:rFonts w:asciiTheme="majorBidi" w:eastAsia="Times New Roman" w:hAnsiTheme="majorBidi" w:cstheme="majorBidi"/>
          <w:sz w:val="24"/>
          <w:szCs w:val="24"/>
          <w:lang w:val="en-US" w:eastAsia="fr-FR" w:bidi="he-IL"/>
        </w:rPr>
        <w:t xml:space="preserve">, Paris. </w:t>
      </w:r>
    </w:p>
    <w:bookmarkEnd w:id="24"/>
    <w:bookmarkEnd w:id="25"/>
    <w:p w14:paraId="5EEC2738" w14:textId="77777777" w:rsidR="00E60725" w:rsidRPr="00D806D9" w:rsidRDefault="00E60725" w:rsidP="00003440">
      <w:pPr>
        <w:spacing w:after="0" w:line="240" w:lineRule="auto"/>
        <w:jc w:val="both"/>
        <w:rPr>
          <w:rFonts w:asciiTheme="majorBidi" w:hAnsiTheme="majorBidi" w:cstheme="majorBidi"/>
          <w:sz w:val="24"/>
          <w:szCs w:val="24"/>
          <w:lang w:val="en-US"/>
        </w:rPr>
      </w:pPr>
    </w:p>
    <w:p w14:paraId="24A983DC" w14:textId="3119261F"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Frunza</w:t>
      </w:r>
      <w:proofErr w:type="spellEnd"/>
      <w:r w:rsidRPr="00D806D9">
        <w:rPr>
          <w:rFonts w:asciiTheme="majorBidi" w:hAnsiTheme="majorBidi" w:cstheme="majorBidi"/>
          <w:sz w:val="24"/>
          <w:szCs w:val="24"/>
          <w:lang w:val="en-US"/>
        </w:rPr>
        <w:t xml:space="preserve">, M., </w:t>
      </w:r>
      <w:proofErr w:type="spellStart"/>
      <w:r w:rsidRPr="00D806D9">
        <w:rPr>
          <w:rFonts w:asciiTheme="majorBidi" w:hAnsiTheme="majorBidi" w:cstheme="majorBidi"/>
          <w:sz w:val="24"/>
          <w:szCs w:val="24"/>
          <w:lang w:val="en-US"/>
        </w:rPr>
        <w:t>Guegan</w:t>
      </w:r>
      <w:proofErr w:type="spellEnd"/>
      <w:r w:rsidRPr="00D806D9">
        <w:rPr>
          <w:rFonts w:asciiTheme="majorBidi" w:hAnsiTheme="majorBidi" w:cstheme="majorBidi"/>
          <w:sz w:val="24"/>
          <w:szCs w:val="24"/>
          <w:lang w:val="en-US"/>
        </w:rPr>
        <w:t xml:space="preserve">, D., &amp; </w:t>
      </w:r>
      <w:proofErr w:type="spellStart"/>
      <w:r w:rsidRPr="00D806D9">
        <w:rPr>
          <w:rFonts w:asciiTheme="majorBidi" w:hAnsiTheme="majorBidi" w:cstheme="majorBidi"/>
          <w:sz w:val="24"/>
          <w:szCs w:val="24"/>
          <w:lang w:val="en-US"/>
        </w:rPr>
        <w:t>Thiebaut</w:t>
      </w:r>
      <w:proofErr w:type="spellEnd"/>
      <w:r w:rsidRPr="00D806D9">
        <w:rPr>
          <w:rFonts w:asciiTheme="majorBidi" w:hAnsiTheme="majorBidi" w:cstheme="majorBidi"/>
          <w:sz w:val="24"/>
          <w:szCs w:val="24"/>
          <w:lang w:val="en-US"/>
        </w:rPr>
        <w:t xml:space="preserve">, F. (2011). Missing Trader Fraud on the Emissions Market. Journal of Financial Crime, 18(2), 183-194. </w:t>
      </w:r>
      <w:hyperlink r:id="rId73" w:history="1">
        <w:r w:rsidRPr="00D806D9">
          <w:rPr>
            <w:rStyle w:val="Hyperlink"/>
            <w:rFonts w:asciiTheme="majorBidi" w:hAnsiTheme="majorBidi" w:cstheme="majorBidi"/>
            <w:sz w:val="24"/>
            <w:szCs w:val="24"/>
            <w:lang w:val="en-US"/>
          </w:rPr>
          <w:t>Link</w:t>
        </w:r>
      </w:hyperlink>
    </w:p>
    <w:p w14:paraId="2CD83E1E" w14:textId="77777777" w:rsidR="000E6196" w:rsidRPr="00D806D9" w:rsidRDefault="000E6196" w:rsidP="00003440">
      <w:pPr>
        <w:autoSpaceDE w:val="0"/>
        <w:autoSpaceDN w:val="0"/>
        <w:adjustRightInd w:val="0"/>
        <w:spacing w:after="0" w:line="240" w:lineRule="auto"/>
        <w:jc w:val="both"/>
        <w:rPr>
          <w:rFonts w:asciiTheme="majorBidi" w:hAnsiTheme="majorBidi" w:cstheme="majorBidi"/>
          <w:sz w:val="24"/>
          <w:szCs w:val="24"/>
          <w:lang w:val="en-US"/>
        </w:rPr>
      </w:pPr>
    </w:p>
    <w:p w14:paraId="163453B5" w14:textId="7BCC429D"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Fuchs, D., &amp; </w:t>
      </w:r>
      <w:proofErr w:type="spellStart"/>
      <w:r w:rsidRPr="00D806D9">
        <w:rPr>
          <w:rFonts w:asciiTheme="majorBidi" w:hAnsiTheme="majorBidi" w:cstheme="majorBidi"/>
          <w:sz w:val="24"/>
          <w:szCs w:val="24"/>
          <w:lang w:val="en-US"/>
        </w:rPr>
        <w:t>Feldhoff</w:t>
      </w:r>
      <w:proofErr w:type="spellEnd"/>
      <w:r w:rsidRPr="00D806D9">
        <w:rPr>
          <w:rFonts w:asciiTheme="majorBidi" w:hAnsiTheme="majorBidi" w:cstheme="majorBidi"/>
          <w:sz w:val="24"/>
          <w:szCs w:val="24"/>
          <w:lang w:val="en-US"/>
        </w:rPr>
        <w:t xml:space="preserve">, B. (2016). Passing the </w:t>
      </w:r>
      <w:r w:rsidR="000E6196" w:rsidRPr="00D806D9">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cepter, not the </w:t>
      </w:r>
      <w:r w:rsidR="000E6196" w:rsidRPr="00D806D9">
        <w:rPr>
          <w:rFonts w:asciiTheme="majorBidi" w:hAnsiTheme="majorBidi" w:cstheme="majorBidi"/>
          <w:sz w:val="24"/>
          <w:szCs w:val="24"/>
          <w:lang w:val="en-US"/>
        </w:rPr>
        <w:t>B</w:t>
      </w:r>
      <w:r w:rsidRPr="00D806D9">
        <w:rPr>
          <w:rFonts w:asciiTheme="majorBidi" w:hAnsiTheme="majorBidi" w:cstheme="majorBidi"/>
          <w:sz w:val="24"/>
          <w:szCs w:val="24"/>
          <w:lang w:val="en-US"/>
        </w:rPr>
        <w:t xml:space="preserve">uck: Long </w:t>
      </w:r>
      <w:r w:rsidR="000E6196" w:rsidRPr="00D806D9">
        <w:rPr>
          <w:rFonts w:asciiTheme="majorBidi" w:hAnsiTheme="majorBidi" w:cstheme="majorBidi"/>
          <w:sz w:val="24"/>
          <w:szCs w:val="24"/>
          <w:lang w:val="en-US"/>
        </w:rPr>
        <w:t>A</w:t>
      </w:r>
      <w:r w:rsidRPr="00D806D9">
        <w:rPr>
          <w:rFonts w:asciiTheme="majorBidi" w:hAnsiTheme="majorBidi" w:cstheme="majorBidi"/>
          <w:sz w:val="24"/>
          <w:szCs w:val="24"/>
          <w:lang w:val="en-US"/>
        </w:rPr>
        <w:t xml:space="preserve">rms in EU </w:t>
      </w:r>
      <w:r w:rsidR="000E6196"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limate </w:t>
      </w:r>
      <w:r w:rsidR="000E6196"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olitics. </w:t>
      </w:r>
      <w:r w:rsidRPr="00D806D9">
        <w:rPr>
          <w:rFonts w:asciiTheme="majorBidi" w:hAnsiTheme="majorBidi" w:cstheme="majorBidi"/>
          <w:i/>
          <w:iCs/>
          <w:sz w:val="24"/>
          <w:szCs w:val="24"/>
          <w:lang w:val="en-US"/>
        </w:rPr>
        <w:t>Journal of Sustainable Development</w:t>
      </w:r>
      <w:r w:rsidRPr="00D806D9">
        <w:rPr>
          <w:rFonts w:asciiTheme="majorBidi" w:hAnsiTheme="majorBidi" w:cstheme="majorBidi"/>
          <w:sz w:val="24"/>
          <w:szCs w:val="24"/>
          <w:lang w:val="en-US"/>
        </w:rPr>
        <w:t>, </w:t>
      </w:r>
      <w:r w:rsidRPr="00D806D9">
        <w:rPr>
          <w:rFonts w:asciiTheme="majorBidi" w:hAnsiTheme="majorBidi" w:cstheme="majorBidi"/>
          <w:i/>
          <w:iCs/>
          <w:sz w:val="24"/>
          <w:szCs w:val="24"/>
          <w:lang w:val="en-US"/>
        </w:rPr>
        <w:t>9</w:t>
      </w:r>
      <w:r w:rsidRPr="00D806D9">
        <w:rPr>
          <w:rFonts w:asciiTheme="majorBidi" w:hAnsiTheme="majorBidi" w:cstheme="majorBidi"/>
          <w:sz w:val="24"/>
          <w:szCs w:val="24"/>
          <w:lang w:val="en-US"/>
        </w:rPr>
        <w:t>(6), 58</w:t>
      </w:r>
      <w:r w:rsidR="006C64AB" w:rsidRPr="00D806D9">
        <w:rPr>
          <w:rFonts w:asciiTheme="majorBidi" w:hAnsiTheme="majorBidi" w:cstheme="majorBidi"/>
          <w:sz w:val="24"/>
          <w:szCs w:val="24"/>
          <w:lang w:val="en-US"/>
        </w:rPr>
        <w:t>-74</w:t>
      </w:r>
      <w:r w:rsidRPr="00D806D9">
        <w:rPr>
          <w:rFonts w:asciiTheme="majorBidi" w:hAnsiTheme="majorBidi" w:cstheme="majorBidi"/>
          <w:sz w:val="24"/>
          <w:szCs w:val="24"/>
          <w:lang w:val="en-US"/>
        </w:rPr>
        <w:t>.</w:t>
      </w:r>
      <w:r w:rsidR="000E6196" w:rsidRPr="00D806D9">
        <w:rPr>
          <w:rFonts w:asciiTheme="majorBidi" w:hAnsiTheme="majorBidi" w:cstheme="majorBidi"/>
          <w:sz w:val="24"/>
          <w:szCs w:val="24"/>
          <w:lang w:val="en-US"/>
        </w:rPr>
        <w:t xml:space="preserve"> </w:t>
      </w:r>
      <w:hyperlink r:id="rId74" w:history="1">
        <w:r w:rsidR="000E6196" w:rsidRPr="00D806D9">
          <w:rPr>
            <w:rStyle w:val="Hyperlink"/>
            <w:rFonts w:asciiTheme="majorBidi" w:hAnsiTheme="majorBidi" w:cstheme="majorBidi"/>
            <w:sz w:val="24"/>
            <w:szCs w:val="24"/>
            <w:lang w:val="en-US"/>
          </w:rPr>
          <w:t>Link</w:t>
        </w:r>
      </w:hyperlink>
    </w:p>
    <w:p w14:paraId="1DF88E28" w14:textId="77777777" w:rsidR="000E6196" w:rsidRPr="00D806D9" w:rsidRDefault="000E6196" w:rsidP="00003440">
      <w:pPr>
        <w:autoSpaceDE w:val="0"/>
        <w:autoSpaceDN w:val="0"/>
        <w:adjustRightInd w:val="0"/>
        <w:spacing w:after="0" w:line="240" w:lineRule="auto"/>
        <w:jc w:val="both"/>
        <w:rPr>
          <w:rFonts w:asciiTheme="majorBidi" w:hAnsiTheme="majorBidi" w:cstheme="majorBidi"/>
          <w:sz w:val="24"/>
          <w:szCs w:val="24"/>
          <w:lang w:val="en-US"/>
        </w:rPr>
      </w:pPr>
    </w:p>
    <w:p w14:paraId="707C16DA" w14:textId="4CE525D5" w:rsidR="00E60725" w:rsidRPr="00D806D9" w:rsidRDefault="00E60725" w:rsidP="00003440">
      <w:pPr>
        <w:pStyle w:val="Default"/>
        <w:jc w:val="both"/>
        <w:rPr>
          <w:rFonts w:asciiTheme="majorBidi" w:hAnsiTheme="majorBidi" w:cstheme="majorBidi"/>
          <w:color w:val="auto"/>
          <w:lang w:val="en-US" w:bidi="ar-SA"/>
        </w:rPr>
      </w:pPr>
      <w:r w:rsidRPr="00D806D9">
        <w:rPr>
          <w:rFonts w:asciiTheme="majorBidi" w:hAnsiTheme="majorBidi" w:cstheme="majorBidi"/>
          <w:color w:val="auto"/>
          <w:lang w:val="en-US" w:bidi="ar-SA"/>
        </w:rPr>
        <w:lastRenderedPageBreak/>
        <w:t xml:space="preserve">Germain, J-M., &amp; </w:t>
      </w:r>
      <w:proofErr w:type="spellStart"/>
      <w:r w:rsidRPr="00D806D9">
        <w:rPr>
          <w:rFonts w:asciiTheme="majorBidi" w:hAnsiTheme="majorBidi" w:cstheme="majorBidi"/>
          <w:color w:val="auto"/>
          <w:lang w:val="en-US" w:bidi="ar-SA"/>
        </w:rPr>
        <w:t>Lellouch</w:t>
      </w:r>
      <w:proofErr w:type="spellEnd"/>
      <w:r w:rsidRPr="00D806D9">
        <w:rPr>
          <w:rFonts w:asciiTheme="majorBidi" w:hAnsiTheme="majorBidi" w:cstheme="majorBidi"/>
          <w:color w:val="auto"/>
          <w:lang w:val="en-US" w:bidi="ar-SA"/>
        </w:rPr>
        <w:t xml:space="preserve">, T. (2020). The Social Cost of Global Warming and Sustainability Indicators: Lessons from an Application to France. </w:t>
      </w:r>
      <w:hyperlink r:id="rId75" w:history="1">
        <w:r w:rsidRPr="00397B73">
          <w:rPr>
            <w:rFonts w:asciiTheme="majorBidi" w:hAnsiTheme="majorBidi" w:cstheme="majorBidi"/>
            <w:i/>
            <w:iCs/>
            <w:color w:val="auto"/>
            <w:lang w:bidi="ar-SA"/>
          </w:rPr>
          <w:t>Economie et Statistique</w:t>
        </w:r>
      </w:hyperlink>
      <w:r w:rsidRPr="00397B73">
        <w:rPr>
          <w:rFonts w:asciiTheme="majorBidi" w:hAnsiTheme="majorBidi" w:cstheme="majorBidi"/>
          <w:color w:val="auto"/>
          <w:lang w:bidi="ar-SA"/>
        </w:rPr>
        <w:t xml:space="preserve">, Institut National de la Statistique et des Études Économiques, </w:t>
      </w:r>
      <w:r w:rsidRPr="00397B73">
        <w:rPr>
          <w:rFonts w:asciiTheme="majorBidi" w:hAnsiTheme="majorBidi" w:cstheme="majorBidi"/>
          <w:i/>
          <w:iCs/>
          <w:color w:val="auto"/>
          <w:lang w:bidi="ar-SA"/>
        </w:rPr>
        <w:t>517-518</w:t>
      </w:r>
      <w:r w:rsidRPr="00397B73">
        <w:rPr>
          <w:rFonts w:asciiTheme="majorBidi" w:hAnsiTheme="majorBidi" w:cstheme="majorBidi"/>
          <w:color w:val="auto"/>
          <w:lang w:bidi="ar-SA"/>
        </w:rPr>
        <w:t>(5), 81-102.</w:t>
      </w:r>
      <w:r w:rsidR="008D647E" w:rsidRPr="00397B73">
        <w:rPr>
          <w:rFonts w:asciiTheme="majorBidi" w:hAnsiTheme="majorBidi" w:cstheme="majorBidi"/>
          <w:color w:val="auto"/>
          <w:lang w:bidi="ar-SA"/>
        </w:rPr>
        <w:t xml:space="preserve"> </w:t>
      </w:r>
      <w:hyperlink r:id="rId76" w:history="1">
        <w:r w:rsidR="008D647E" w:rsidRPr="00D806D9">
          <w:rPr>
            <w:rStyle w:val="Hyperlink"/>
            <w:rFonts w:asciiTheme="majorBidi" w:hAnsiTheme="majorBidi" w:cstheme="majorBidi"/>
            <w:lang w:val="en-US" w:bidi="ar-SA"/>
          </w:rPr>
          <w:t>Link</w:t>
        </w:r>
      </w:hyperlink>
    </w:p>
    <w:p w14:paraId="18B72608" w14:textId="77777777" w:rsidR="00BC09BE" w:rsidRPr="00D806D9" w:rsidRDefault="00BC09BE" w:rsidP="00003440">
      <w:pPr>
        <w:pStyle w:val="Default"/>
        <w:jc w:val="both"/>
        <w:rPr>
          <w:rFonts w:asciiTheme="majorBidi" w:hAnsiTheme="majorBidi" w:cstheme="majorBidi"/>
          <w:color w:val="auto"/>
          <w:lang w:val="en-US" w:bidi="ar-SA"/>
        </w:rPr>
      </w:pPr>
    </w:p>
    <w:p w14:paraId="638589B3" w14:textId="453ACDDC"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Global CCS Institute. (2021). </w:t>
      </w:r>
      <w:r w:rsidRPr="00D806D9">
        <w:rPr>
          <w:rFonts w:asciiTheme="majorBidi" w:hAnsiTheme="majorBidi" w:cstheme="majorBidi"/>
          <w:i/>
          <w:iCs/>
          <w:sz w:val="24"/>
          <w:szCs w:val="24"/>
          <w:lang w:val="en-US"/>
        </w:rPr>
        <w:t>Global Status of CCS 2021</w:t>
      </w:r>
      <w:r w:rsidRPr="00D806D9">
        <w:rPr>
          <w:rFonts w:asciiTheme="majorBidi" w:hAnsiTheme="majorBidi" w:cstheme="majorBidi"/>
          <w:sz w:val="24"/>
          <w:szCs w:val="24"/>
          <w:lang w:val="en-US"/>
        </w:rPr>
        <w:t xml:space="preserve">. </w:t>
      </w:r>
      <w:hyperlink r:id="rId77" w:history="1">
        <w:r w:rsidRPr="00D806D9">
          <w:rPr>
            <w:rStyle w:val="Hyperlink"/>
            <w:rFonts w:asciiTheme="majorBidi" w:hAnsiTheme="majorBidi" w:cstheme="majorBidi"/>
            <w:sz w:val="24"/>
            <w:szCs w:val="24"/>
            <w:lang w:val="en-US"/>
          </w:rPr>
          <w:t>Link</w:t>
        </w:r>
      </w:hyperlink>
    </w:p>
    <w:p w14:paraId="7BF8394D" w14:textId="77777777" w:rsidR="00BC09BE" w:rsidRPr="00D806D9" w:rsidRDefault="00BC09BE" w:rsidP="00003440">
      <w:pPr>
        <w:pStyle w:val="FootnoteText"/>
        <w:jc w:val="both"/>
        <w:rPr>
          <w:rFonts w:asciiTheme="majorBidi" w:hAnsiTheme="majorBidi" w:cstheme="majorBidi"/>
          <w:sz w:val="24"/>
          <w:szCs w:val="24"/>
          <w:lang w:val="en-US"/>
        </w:rPr>
      </w:pPr>
    </w:p>
    <w:p w14:paraId="1500966F" w14:textId="4D0E68FD" w:rsidR="00E60725" w:rsidRPr="00D806D9"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Green, F. &amp; Healy, N. (2022). How </w:t>
      </w:r>
      <w:r w:rsidR="008D647E" w:rsidRPr="00D806D9">
        <w:rPr>
          <w:rFonts w:asciiTheme="majorBidi" w:eastAsia="Times New Roman" w:hAnsiTheme="majorBidi" w:cstheme="majorBidi"/>
          <w:sz w:val="24"/>
          <w:szCs w:val="24"/>
          <w:lang w:val="en-US" w:eastAsia="fr-FR" w:bidi="he-IL"/>
        </w:rPr>
        <w:t>I</w:t>
      </w:r>
      <w:r w:rsidRPr="00D806D9">
        <w:rPr>
          <w:rFonts w:asciiTheme="majorBidi" w:eastAsia="Times New Roman" w:hAnsiTheme="majorBidi" w:cstheme="majorBidi"/>
          <w:sz w:val="24"/>
          <w:szCs w:val="24"/>
          <w:lang w:val="en-US" w:eastAsia="fr-FR" w:bidi="he-IL"/>
        </w:rPr>
        <w:t xml:space="preserve">nequality </w:t>
      </w:r>
      <w:r w:rsidR="008D647E" w:rsidRPr="00D806D9">
        <w:rPr>
          <w:rFonts w:asciiTheme="majorBidi" w:eastAsia="Times New Roman" w:hAnsiTheme="majorBidi" w:cstheme="majorBidi"/>
          <w:sz w:val="24"/>
          <w:szCs w:val="24"/>
          <w:lang w:val="en-US" w:eastAsia="fr-FR" w:bidi="he-IL"/>
        </w:rPr>
        <w:t>F</w:t>
      </w:r>
      <w:r w:rsidRPr="00D806D9">
        <w:rPr>
          <w:rFonts w:asciiTheme="majorBidi" w:eastAsia="Times New Roman" w:hAnsiTheme="majorBidi" w:cstheme="majorBidi"/>
          <w:sz w:val="24"/>
          <w:szCs w:val="24"/>
          <w:lang w:val="en-US" w:eastAsia="fr-FR" w:bidi="he-IL"/>
        </w:rPr>
        <w:t xml:space="preserve">uels </w:t>
      </w:r>
      <w:r w:rsidR="008D647E"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limate </w:t>
      </w:r>
      <w:r w:rsidR="008D647E"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hange: The </w:t>
      </w:r>
      <w:r w:rsidR="008D647E"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limate </w:t>
      </w:r>
      <w:r w:rsidR="008D647E"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ase for a Green New Deal. </w:t>
      </w:r>
      <w:r w:rsidRPr="00D806D9">
        <w:rPr>
          <w:rFonts w:asciiTheme="majorBidi" w:eastAsia="Times New Roman" w:hAnsiTheme="majorBidi" w:cstheme="majorBidi"/>
          <w:i/>
          <w:iCs/>
          <w:sz w:val="24"/>
          <w:szCs w:val="24"/>
          <w:lang w:val="en-US" w:eastAsia="fr-FR" w:bidi="he-IL"/>
        </w:rPr>
        <w:t>One Earth</w:t>
      </w:r>
      <w:r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i/>
          <w:iCs/>
          <w:sz w:val="24"/>
          <w:szCs w:val="24"/>
          <w:lang w:val="en-US" w:eastAsia="fr-FR" w:bidi="he-IL"/>
        </w:rPr>
        <w:t>5</w:t>
      </w:r>
      <w:r w:rsidRPr="00D806D9">
        <w:rPr>
          <w:rFonts w:asciiTheme="majorBidi" w:eastAsia="Times New Roman" w:hAnsiTheme="majorBidi" w:cstheme="majorBidi"/>
          <w:sz w:val="24"/>
          <w:szCs w:val="24"/>
          <w:lang w:val="en-US" w:eastAsia="fr-FR" w:bidi="he-IL"/>
        </w:rPr>
        <w:t xml:space="preserve">(6), 635-649. </w:t>
      </w:r>
      <w:hyperlink r:id="rId78" w:history="1">
        <w:r w:rsidRPr="00D806D9">
          <w:rPr>
            <w:rStyle w:val="Hyperlink"/>
            <w:rFonts w:asciiTheme="majorBidi" w:eastAsia="Times New Roman" w:hAnsiTheme="majorBidi" w:cstheme="majorBidi"/>
            <w:sz w:val="24"/>
            <w:szCs w:val="24"/>
            <w:lang w:val="en-US" w:eastAsia="fr-FR" w:bidi="he-IL"/>
          </w:rPr>
          <w:t>Link</w:t>
        </w:r>
      </w:hyperlink>
    </w:p>
    <w:p w14:paraId="335FD688" w14:textId="77777777" w:rsidR="00BC09BE" w:rsidRPr="00D806D9" w:rsidRDefault="00BC09BE"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5297E435" w14:textId="14979906" w:rsidR="00E60725" w:rsidRPr="00D806D9" w:rsidRDefault="00E60725"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Green, J. F. (2021). Does </w:t>
      </w:r>
      <w:r w:rsidR="004D0006"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arbon </w:t>
      </w:r>
      <w:r w:rsidR="004D0006"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ricing </w:t>
      </w:r>
      <w:r w:rsidR="004D0006" w:rsidRPr="00D806D9">
        <w:rPr>
          <w:rFonts w:asciiTheme="majorBidi" w:hAnsiTheme="majorBidi" w:cstheme="majorBidi"/>
          <w:sz w:val="24"/>
          <w:szCs w:val="24"/>
          <w:lang w:val="en-US"/>
        </w:rPr>
        <w:t>R</w:t>
      </w:r>
      <w:r w:rsidRPr="00D806D9">
        <w:rPr>
          <w:rFonts w:asciiTheme="majorBidi" w:hAnsiTheme="majorBidi" w:cstheme="majorBidi"/>
          <w:sz w:val="24"/>
          <w:szCs w:val="24"/>
          <w:lang w:val="en-US"/>
        </w:rPr>
        <w:t xml:space="preserve">educe </w:t>
      </w:r>
      <w:r w:rsidR="004D0006"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missions? A </w:t>
      </w:r>
      <w:r w:rsidR="004D0006" w:rsidRPr="00D806D9">
        <w:rPr>
          <w:rFonts w:asciiTheme="majorBidi" w:hAnsiTheme="majorBidi" w:cstheme="majorBidi"/>
          <w:sz w:val="24"/>
          <w:szCs w:val="24"/>
          <w:lang w:val="en-US"/>
        </w:rPr>
        <w:t>R</w:t>
      </w:r>
      <w:r w:rsidRPr="00D806D9">
        <w:rPr>
          <w:rFonts w:asciiTheme="majorBidi" w:hAnsiTheme="majorBidi" w:cstheme="majorBidi"/>
          <w:sz w:val="24"/>
          <w:szCs w:val="24"/>
          <w:lang w:val="en-US"/>
        </w:rPr>
        <w:t xml:space="preserve">eview of </w:t>
      </w:r>
      <w:r w:rsidR="004D0006"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x-</w:t>
      </w:r>
      <w:r w:rsidR="004D0006"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ost </w:t>
      </w:r>
      <w:r w:rsidR="004D0006" w:rsidRPr="00D806D9">
        <w:rPr>
          <w:rFonts w:asciiTheme="majorBidi" w:hAnsiTheme="majorBidi" w:cstheme="majorBidi"/>
          <w:sz w:val="24"/>
          <w:szCs w:val="24"/>
          <w:lang w:val="en-US"/>
        </w:rPr>
        <w:t>A</w:t>
      </w:r>
      <w:r w:rsidRPr="00D806D9">
        <w:rPr>
          <w:rFonts w:asciiTheme="majorBidi" w:hAnsiTheme="majorBidi" w:cstheme="majorBidi"/>
          <w:sz w:val="24"/>
          <w:szCs w:val="24"/>
          <w:lang w:val="en-US"/>
        </w:rPr>
        <w:t xml:space="preserve">nalyses. </w:t>
      </w:r>
      <w:r w:rsidRPr="00D806D9">
        <w:rPr>
          <w:rFonts w:asciiTheme="majorBidi" w:hAnsiTheme="majorBidi" w:cstheme="majorBidi"/>
          <w:i/>
          <w:iCs/>
          <w:sz w:val="24"/>
          <w:szCs w:val="24"/>
          <w:lang w:val="en-US"/>
        </w:rPr>
        <w:t>Environmental Research Letters</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16</w:t>
      </w:r>
      <w:r w:rsidRPr="00D806D9">
        <w:rPr>
          <w:rFonts w:asciiTheme="majorBidi" w:hAnsiTheme="majorBidi" w:cstheme="majorBidi"/>
          <w:sz w:val="24"/>
          <w:szCs w:val="24"/>
          <w:lang w:val="en-US"/>
        </w:rPr>
        <w:t xml:space="preserve">(4), </w:t>
      </w:r>
      <w:r w:rsidR="005B5157" w:rsidRPr="00D806D9">
        <w:rPr>
          <w:rFonts w:asciiTheme="majorBidi" w:hAnsiTheme="majorBidi" w:cstheme="majorBidi"/>
          <w:sz w:val="24"/>
          <w:szCs w:val="24"/>
          <w:lang w:val="en-US"/>
        </w:rPr>
        <w:t xml:space="preserve">Article </w:t>
      </w:r>
      <w:r w:rsidRPr="00D806D9">
        <w:rPr>
          <w:rFonts w:asciiTheme="majorBidi" w:hAnsiTheme="majorBidi" w:cstheme="majorBidi"/>
          <w:sz w:val="24"/>
          <w:szCs w:val="24"/>
          <w:lang w:val="en-US"/>
        </w:rPr>
        <w:t>043004</w:t>
      </w:r>
      <w:r w:rsidR="005B5157" w:rsidRPr="00D806D9">
        <w:rPr>
          <w:rFonts w:asciiTheme="majorBidi" w:hAnsiTheme="majorBidi" w:cstheme="majorBidi"/>
          <w:sz w:val="24"/>
          <w:szCs w:val="24"/>
          <w:lang w:val="en-US"/>
        </w:rPr>
        <w:t xml:space="preserve">. </w:t>
      </w:r>
      <w:hyperlink r:id="rId79" w:history="1">
        <w:r w:rsidR="005B5157" w:rsidRPr="00D806D9">
          <w:rPr>
            <w:rStyle w:val="Hyperlink"/>
            <w:rFonts w:asciiTheme="majorBidi" w:hAnsiTheme="majorBidi" w:cstheme="majorBidi"/>
            <w:sz w:val="24"/>
            <w:szCs w:val="24"/>
            <w:lang w:val="en-US"/>
          </w:rPr>
          <w:t>Link</w:t>
        </w:r>
      </w:hyperlink>
    </w:p>
    <w:p w14:paraId="23E311AF" w14:textId="77777777" w:rsidR="00BC09BE" w:rsidRPr="00D806D9" w:rsidRDefault="00BC09BE" w:rsidP="00003440">
      <w:pPr>
        <w:pStyle w:val="FootnoteText"/>
        <w:jc w:val="both"/>
        <w:rPr>
          <w:rFonts w:asciiTheme="majorBidi" w:hAnsiTheme="majorBidi" w:cstheme="majorBidi"/>
          <w:sz w:val="24"/>
          <w:szCs w:val="24"/>
          <w:lang w:val="en-US"/>
        </w:rPr>
      </w:pPr>
    </w:p>
    <w:p w14:paraId="281AB4D3" w14:textId="4C4E717C"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Gronwald</w:t>
      </w:r>
      <w:proofErr w:type="spellEnd"/>
      <w:r w:rsidRPr="00D806D9">
        <w:rPr>
          <w:rFonts w:asciiTheme="majorBidi" w:hAnsiTheme="majorBidi" w:cstheme="majorBidi"/>
          <w:sz w:val="24"/>
          <w:szCs w:val="24"/>
          <w:lang w:val="en-US"/>
        </w:rPr>
        <w:t xml:space="preserve">, M., </w:t>
      </w:r>
      <w:r w:rsidR="005B5157" w:rsidRPr="00D806D9">
        <w:rPr>
          <w:rFonts w:asciiTheme="majorBidi" w:hAnsiTheme="majorBidi" w:cstheme="majorBidi"/>
          <w:sz w:val="24"/>
          <w:szCs w:val="24"/>
          <w:lang w:val="en-US"/>
        </w:rPr>
        <w:t>&amp;</w:t>
      </w:r>
      <w:r w:rsidRPr="00D806D9">
        <w:rPr>
          <w:rFonts w:asciiTheme="majorBidi" w:hAnsiTheme="majorBidi" w:cstheme="majorBidi"/>
          <w:sz w:val="24"/>
          <w:szCs w:val="24"/>
          <w:lang w:val="en-US"/>
        </w:rPr>
        <w:t xml:space="preserve"> </w:t>
      </w:r>
      <w:proofErr w:type="spellStart"/>
      <w:r w:rsidRPr="00D806D9">
        <w:rPr>
          <w:rFonts w:asciiTheme="majorBidi" w:hAnsiTheme="majorBidi" w:cstheme="majorBidi"/>
          <w:sz w:val="24"/>
          <w:szCs w:val="24"/>
          <w:lang w:val="en-US"/>
        </w:rPr>
        <w:t>Hintermann</w:t>
      </w:r>
      <w:proofErr w:type="spellEnd"/>
      <w:r w:rsidRPr="00D806D9">
        <w:rPr>
          <w:rFonts w:asciiTheme="majorBidi" w:hAnsiTheme="majorBidi" w:cstheme="majorBidi"/>
          <w:sz w:val="24"/>
          <w:szCs w:val="24"/>
          <w:lang w:val="en-US"/>
        </w:rPr>
        <w:t>, B.</w:t>
      </w:r>
      <w:r w:rsidR="005B5157"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(2015). </w:t>
      </w:r>
      <w:r w:rsidRPr="00D806D9">
        <w:rPr>
          <w:rFonts w:asciiTheme="majorBidi" w:hAnsiTheme="majorBidi" w:cstheme="majorBidi"/>
          <w:i/>
          <w:iCs/>
          <w:sz w:val="24"/>
          <w:szCs w:val="24"/>
          <w:lang w:val="en-US"/>
        </w:rPr>
        <w:t>Evaluating Emission Trading as a Policy Instrument: Evaluation and Prospects</w:t>
      </w:r>
      <w:r w:rsidRPr="00D806D9">
        <w:rPr>
          <w:rFonts w:asciiTheme="majorBidi" w:hAnsiTheme="majorBidi" w:cstheme="majorBidi"/>
          <w:sz w:val="24"/>
          <w:szCs w:val="24"/>
          <w:lang w:val="en-US"/>
        </w:rPr>
        <w:t>. Massachusetts Institute of Technology.</w:t>
      </w:r>
    </w:p>
    <w:p w14:paraId="432A08DF" w14:textId="77777777" w:rsidR="00BC09BE" w:rsidRPr="00D806D9" w:rsidRDefault="00BC09BE" w:rsidP="00003440">
      <w:pPr>
        <w:autoSpaceDE w:val="0"/>
        <w:autoSpaceDN w:val="0"/>
        <w:adjustRightInd w:val="0"/>
        <w:spacing w:after="0" w:line="240" w:lineRule="auto"/>
        <w:jc w:val="both"/>
        <w:rPr>
          <w:rFonts w:asciiTheme="majorBidi" w:hAnsiTheme="majorBidi" w:cstheme="majorBidi"/>
          <w:sz w:val="24"/>
          <w:szCs w:val="24"/>
          <w:lang w:val="en-US"/>
        </w:rPr>
      </w:pPr>
    </w:p>
    <w:p w14:paraId="2397C7E3" w14:textId="3EA33398" w:rsidR="00E60725" w:rsidRPr="00D806D9" w:rsidRDefault="00E60725" w:rsidP="00003440">
      <w:pPr>
        <w:shd w:val="clear" w:color="auto" w:fill="FFFFFF"/>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Helm, D., &amp; Hepburn, C. (2005). </w:t>
      </w:r>
      <w:r w:rsidRPr="00D806D9">
        <w:rPr>
          <w:rFonts w:asciiTheme="majorBidi" w:eastAsia="Times New Roman" w:hAnsiTheme="majorBidi" w:cstheme="majorBidi"/>
          <w:i/>
          <w:iCs/>
          <w:color w:val="000000"/>
          <w:sz w:val="24"/>
          <w:szCs w:val="24"/>
          <w:lang w:val="en-US" w:eastAsia="fr-FR" w:bidi="he-IL"/>
        </w:rPr>
        <w:t>Carbon Contracts and Energy Policy: an Outline Proposal</w:t>
      </w:r>
      <w:r w:rsidRPr="00D806D9">
        <w:rPr>
          <w:rFonts w:asciiTheme="majorBidi" w:eastAsia="Times New Roman" w:hAnsiTheme="majorBidi" w:cstheme="majorBidi"/>
          <w:color w:val="000000"/>
          <w:sz w:val="24"/>
          <w:szCs w:val="24"/>
          <w:lang w:val="en-US" w:eastAsia="fr-FR" w:bidi="he-IL"/>
        </w:rPr>
        <w:t xml:space="preserve">. Oxford University Department of Economics. Discussion Paper. </w:t>
      </w:r>
      <w:hyperlink r:id="rId80" w:history="1">
        <w:r w:rsidRPr="00D806D9">
          <w:rPr>
            <w:rStyle w:val="Hyperlink"/>
            <w:rFonts w:asciiTheme="majorBidi" w:eastAsia="Times New Roman" w:hAnsiTheme="majorBidi" w:cstheme="majorBidi"/>
            <w:sz w:val="24"/>
            <w:szCs w:val="24"/>
            <w:lang w:val="en-US" w:eastAsia="fr-FR" w:bidi="he-IL"/>
          </w:rPr>
          <w:t>Link</w:t>
        </w:r>
      </w:hyperlink>
    </w:p>
    <w:p w14:paraId="15FF2D3B" w14:textId="77777777" w:rsidR="00BC09BE" w:rsidRPr="00D806D9" w:rsidRDefault="00BC09BE" w:rsidP="00003440">
      <w:pPr>
        <w:shd w:val="clear" w:color="auto" w:fill="FFFFFF"/>
        <w:spacing w:after="0" w:line="240" w:lineRule="auto"/>
        <w:jc w:val="both"/>
        <w:rPr>
          <w:rFonts w:asciiTheme="majorBidi" w:eastAsia="Times New Roman" w:hAnsiTheme="majorBidi" w:cstheme="majorBidi"/>
          <w:color w:val="000000"/>
          <w:sz w:val="24"/>
          <w:szCs w:val="24"/>
          <w:lang w:val="en-US" w:eastAsia="fr-FR" w:bidi="he-IL"/>
        </w:rPr>
      </w:pPr>
    </w:p>
    <w:p w14:paraId="10DC2303" w14:textId="7976F032"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r w:rsidRPr="00D806D9">
        <w:rPr>
          <w:rFonts w:asciiTheme="majorBidi" w:eastAsia="Times New Roman" w:hAnsiTheme="majorBidi" w:cstheme="majorBidi"/>
          <w:color w:val="000000"/>
          <w:sz w:val="24"/>
          <w:szCs w:val="24"/>
          <w:lang w:val="en-US" w:eastAsia="fr-FR" w:bidi="he-IL"/>
        </w:rPr>
        <w:t xml:space="preserve">Hicks, J. R. (1932). </w:t>
      </w:r>
      <w:r w:rsidRPr="00D806D9">
        <w:rPr>
          <w:rFonts w:asciiTheme="majorBidi" w:eastAsia="Times New Roman" w:hAnsiTheme="majorBidi" w:cstheme="majorBidi"/>
          <w:i/>
          <w:iCs/>
          <w:color w:val="000000"/>
          <w:sz w:val="24"/>
          <w:szCs w:val="24"/>
          <w:lang w:val="en-US" w:eastAsia="fr-FR" w:bidi="he-IL"/>
        </w:rPr>
        <w:t>The Theory of Wages</w:t>
      </w:r>
      <w:r w:rsidRPr="00D806D9">
        <w:rPr>
          <w:rFonts w:asciiTheme="majorBidi" w:eastAsia="Times New Roman" w:hAnsiTheme="majorBidi" w:cstheme="majorBidi"/>
          <w:color w:val="000000"/>
          <w:sz w:val="24"/>
          <w:szCs w:val="24"/>
          <w:lang w:val="en-US" w:eastAsia="fr-FR" w:bidi="he-IL"/>
        </w:rPr>
        <w:t>. Macmillan, London</w:t>
      </w:r>
    </w:p>
    <w:p w14:paraId="62E99E1B" w14:textId="77777777" w:rsidR="00BC09BE" w:rsidRPr="00D806D9" w:rsidRDefault="00BC09BE"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
    <w:p w14:paraId="6837F1DE" w14:textId="44458717" w:rsidR="00E60725" w:rsidRPr="00D806D9" w:rsidRDefault="00E60725" w:rsidP="00003440">
      <w:pPr>
        <w:pStyle w:val="NormalWeb"/>
        <w:shd w:val="clear" w:color="auto" w:fill="FFFFFF"/>
        <w:spacing w:before="0" w:beforeAutospacing="0" w:after="0" w:afterAutospacing="0"/>
        <w:jc w:val="both"/>
        <w:rPr>
          <w:rStyle w:val="Hyperlink"/>
          <w:rFonts w:asciiTheme="majorBidi" w:hAnsiTheme="majorBidi" w:cstheme="majorBidi"/>
          <w:lang w:val="en-US"/>
        </w:rPr>
      </w:pPr>
      <w:r w:rsidRPr="00D806D9">
        <w:rPr>
          <w:rFonts w:asciiTheme="majorBidi" w:hAnsiTheme="majorBidi" w:cstheme="majorBidi"/>
          <w:lang w:val="en-US"/>
        </w:rPr>
        <w:t xml:space="preserve">Hydrogen Europe. (2021). Open Letter </w:t>
      </w:r>
      <w:r w:rsidR="00082DAF" w:rsidRPr="00D806D9">
        <w:rPr>
          <w:rFonts w:asciiTheme="majorBidi" w:hAnsiTheme="majorBidi" w:cstheme="majorBidi"/>
          <w:lang w:val="en-US"/>
        </w:rPr>
        <w:t>R</w:t>
      </w:r>
      <w:r w:rsidRPr="00D806D9">
        <w:rPr>
          <w:rFonts w:asciiTheme="majorBidi" w:hAnsiTheme="majorBidi" w:cstheme="majorBidi"/>
          <w:lang w:val="en-US"/>
        </w:rPr>
        <w:t xml:space="preserve">aising </w:t>
      </w:r>
      <w:r w:rsidR="00082DAF" w:rsidRPr="00D806D9">
        <w:rPr>
          <w:rFonts w:asciiTheme="majorBidi" w:hAnsiTheme="majorBidi" w:cstheme="majorBidi"/>
          <w:lang w:val="en-US"/>
        </w:rPr>
        <w:t>C</w:t>
      </w:r>
      <w:r w:rsidRPr="00D806D9">
        <w:rPr>
          <w:rFonts w:asciiTheme="majorBidi" w:hAnsiTheme="majorBidi" w:cstheme="majorBidi"/>
          <w:lang w:val="en-US"/>
        </w:rPr>
        <w:t xml:space="preserve">oncern on the Delegated Act on Art 27.3. </w:t>
      </w:r>
      <w:hyperlink r:id="rId81" w:history="1">
        <w:r w:rsidRPr="00D806D9">
          <w:rPr>
            <w:rStyle w:val="Hyperlink"/>
            <w:rFonts w:asciiTheme="majorBidi" w:hAnsiTheme="majorBidi" w:cstheme="majorBidi"/>
            <w:lang w:val="en-US"/>
          </w:rPr>
          <w:t>Link</w:t>
        </w:r>
      </w:hyperlink>
    </w:p>
    <w:p w14:paraId="7981D825" w14:textId="77777777" w:rsidR="00BC09BE" w:rsidRPr="00D806D9" w:rsidRDefault="00BC09BE" w:rsidP="00003440">
      <w:pPr>
        <w:pStyle w:val="NormalWeb"/>
        <w:shd w:val="clear" w:color="auto" w:fill="FFFFFF"/>
        <w:spacing w:before="0" w:beforeAutospacing="0" w:after="0" w:afterAutospacing="0"/>
        <w:jc w:val="both"/>
        <w:rPr>
          <w:rFonts w:asciiTheme="majorBidi" w:hAnsiTheme="majorBidi" w:cstheme="majorBidi"/>
          <w:lang w:val="en-US"/>
        </w:rPr>
      </w:pPr>
    </w:p>
    <w:p w14:paraId="4546D24D" w14:textId="054DEB39"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IEA. (2018). </w:t>
      </w:r>
      <w:r w:rsidRPr="00D806D9">
        <w:rPr>
          <w:rFonts w:asciiTheme="majorBidi" w:hAnsiTheme="majorBidi" w:cstheme="majorBidi"/>
          <w:i/>
          <w:iCs/>
          <w:sz w:val="24"/>
          <w:szCs w:val="24"/>
          <w:lang w:val="en-US"/>
        </w:rPr>
        <w:t>Hydrogen from Biomass Gasification</w:t>
      </w:r>
      <w:r w:rsidRPr="00D806D9">
        <w:rPr>
          <w:rFonts w:asciiTheme="majorBidi" w:hAnsiTheme="majorBidi" w:cstheme="majorBidi"/>
          <w:sz w:val="24"/>
          <w:szCs w:val="24"/>
          <w:lang w:val="en-US"/>
        </w:rPr>
        <w:t xml:space="preserve">. </w:t>
      </w:r>
      <w:hyperlink r:id="rId82" w:history="1">
        <w:r w:rsidRPr="00D806D9">
          <w:rPr>
            <w:rStyle w:val="Hyperlink"/>
            <w:rFonts w:asciiTheme="majorBidi" w:hAnsiTheme="majorBidi" w:cstheme="majorBidi"/>
            <w:sz w:val="24"/>
            <w:szCs w:val="24"/>
            <w:lang w:val="en-US"/>
          </w:rPr>
          <w:t>Link</w:t>
        </w:r>
      </w:hyperlink>
    </w:p>
    <w:p w14:paraId="19458CDA" w14:textId="77777777" w:rsidR="00BC09BE" w:rsidRPr="00D806D9" w:rsidRDefault="00BC09BE" w:rsidP="00003440">
      <w:pPr>
        <w:pStyle w:val="FootnoteText"/>
        <w:jc w:val="both"/>
        <w:rPr>
          <w:rFonts w:asciiTheme="majorBidi" w:hAnsiTheme="majorBidi" w:cstheme="majorBidi"/>
          <w:sz w:val="24"/>
          <w:szCs w:val="24"/>
          <w:lang w:val="en-US"/>
        </w:rPr>
      </w:pPr>
    </w:p>
    <w:p w14:paraId="48FEA917" w14:textId="1C3941F1" w:rsidR="00E60725" w:rsidRPr="00D806D9" w:rsidRDefault="00E60725" w:rsidP="00003440">
      <w:pPr>
        <w:pStyle w:val="FootnoteText"/>
        <w:jc w:val="both"/>
        <w:rPr>
          <w:rStyle w:val="Hyperlink"/>
          <w:rFonts w:asciiTheme="majorBidi" w:eastAsia="Times New Roman" w:hAnsiTheme="majorBidi" w:cstheme="majorBidi"/>
          <w:sz w:val="24"/>
          <w:szCs w:val="24"/>
          <w:lang w:val="en-US"/>
        </w:rPr>
      </w:pPr>
      <w:r w:rsidRPr="00D806D9">
        <w:rPr>
          <w:rFonts w:asciiTheme="majorBidi" w:eastAsia="Times New Roman" w:hAnsiTheme="majorBidi" w:cstheme="majorBidi"/>
          <w:sz w:val="24"/>
          <w:szCs w:val="24"/>
          <w:lang w:val="en-US"/>
        </w:rPr>
        <w:t>IEA. (2019). </w:t>
      </w:r>
      <w:r w:rsidRPr="00D806D9">
        <w:rPr>
          <w:rFonts w:asciiTheme="majorBidi" w:eastAsia="Times New Roman" w:hAnsiTheme="majorBidi" w:cstheme="majorBidi"/>
          <w:i/>
          <w:iCs/>
          <w:sz w:val="24"/>
          <w:szCs w:val="24"/>
          <w:lang w:val="en-US"/>
        </w:rPr>
        <w:t>The Future of Hydrogen, Seizing Today’s Opportunities</w:t>
      </w:r>
      <w:r w:rsidRPr="00D806D9">
        <w:rPr>
          <w:rFonts w:asciiTheme="majorBidi" w:eastAsia="Times New Roman" w:hAnsiTheme="majorBidi" w:cstheme="majorBidi"/>
          <w:sz w:val="24"/>
          <w:szCs w:val="24"/>
          <w:lang w:val="en-US"/>
        </w:rPr>
        <w:t xml:space="preserve">. </w:t>
      </w:r>
      <w:hyperlink r:id="rId83" w:history="1">
        <w:r w:rsidRPr="00D806D9">
          <w:rPr>
            <w:rStyle w:val="Hyperlink"/>
            <w:rFonts w:asciiTheme="majorBidi" w:eastAsia="Times New Roman" w:hAnsiTheme="majorBidi" w:cstheme="majorBidi"/>
            <w:sz w:val="24"/>
            <w:szCs w:val="24"/>
            <w:lang w:val="en-US"/>
          </w:rPr>
          <w:t>Link</w:t>
        </w:r>
      </w:hyperlink>
    </w:p>
    <w:p w14:paraId="5BA37D9C" w14:textId="77777777" w:rsidR="00BC09BE" w:rsidRPr="00D806D9" w:rsidRDefault="00BC09BE" w:rsidP="00003440">
      <w:pPr>
        <w:pStyle w:val="FootnoteText"/>
        <w:jc w:val="both"/>
        <w:rPr>
          <w:rFonts w:asciiTheme="majorBidi" w:eastAsia="Times New Roman" w:hAnsiTheme="majorBidi" w:cstheme="majorBidi"/>
          <w:sz w:val="24"/>
          <w:szCs w:val="24"/>
          <w:lang w:val="en-US"/>
        </w:rPr>
      </w:pPr>
    </w:p>
    <w:p w14:paraId="6CA9BE61" w14:textId="323602A4"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IPCC. (2021). Annex VII: Glossary in </w:t>
      </w:r>
      <w:r w:rsidRPr="00D806D9">
        <w:rPr>
          <w:rFonts w:asciiTheme="majorBidi" w:hAnsiTheme="majorBidi" w:cstheme="majorBidi"/>
          <w:i/>
          <w:iCs/>
          <w:sz w:val="24"/>
          <w:szCs w:val="24"/>
          <w:lang w:val="en-US" w:bidi="he-IL"/>
        </w:rPr>
        <w:t xml:space="preserve">Climate Change 2021: The Physical Science Basis. Contribution of Working Group I to the Sixth Assessment Report of the Intergovernmental Panel on Climate Change </w:t>
      </w:r>
      <w:r w:rsidRPr="00D806D9">
        <w:rPr>
          <w:rFonts w:asciiTheme="majorBidi" w:hAnsiTheme="majorBidi" w:cstheme="majorBidi"/>
          <w:sz w:val="24"/>
          <w:szCs w:val="24"/>
          <w:lang w:val="en-US" w:bidi="he-IL"/>
        </w:rPr>
        <w:t>[Masson-</w:t>
      </w:r>
      <w:proofErr w:type="spellStart"/>
      <w:r w:rsidRPr="00D806D9">
        <w:rPr>
          <w:rFonts w:asciiTheme="majorBidi" w:hAnsiTheme="majorBidi" w:cstheme="majorBidi"/>
          <w:sz w:val="24"/>
          <w:szCs w:val="24"/>
          <w:lang w:val="en-US" w:bidi="he-IL"/>
        </w:rPr>
        <w:t>Delmotte</w:t>
      </w:r>
      <w:proofErr w:type="spellEnd"/>
      <w:r w:rsidRPr="00D806D9">
        <w:rPr>
          <w:rFonts w:asciiTheme="majorBidi" w:hAnsiTheme="majorBidi" w:cstheme="majorBidi"/>
          <w:sz w:val="24"/>
          <w:szCs w:val="24"/>
          <w:lang w:val="en-US" w:bidi="he-IL"/>
        </w:rPr>
        <w:t xml:space="preserve">, V., P. </w:t>
      </w:r>
      <w:proofErr w:type="spellStart"/>
      <w:r w:rsidRPr="00D806D9">
        <w:rPr>
          <w:rFonts w:asciiTheme="majorBidi" w:hAnsiTheme="majorBidi" w:cstheme="majorBidi"/>
          <w:sz w:val="24"/>
          <w:szCs w:val="24"/>
          <w:lang w:val="en-US" w:bidi="he-IL"/>
        </w:rPr>
        <w:t>Zhai</w:t>
      </w:r>
      <w:proofErr w:type="spellEnd"/>
      <w:r w:rsidRPr="00D806D9">
        <w:rPr>
          <w:rFonts w:asciiTheme="majorBidi" w:hAnsiTheme="majorBidi" w:cstheme="majorBidi"/>
          <w:sz w:val="24"/>
          <w:szCs w:val="24"/>
          <w:lang w:val="en-US" w:bidi="he-IL"/>
        </w:rPr>
        <w:t xml:space="preserve">, A. Pirani, S. L. Connors, C. </w:t>
      </w:r>
      <w:proofErr w:type="spellStart"/>
      <w:r w:rsidRPr="00D806D9">
        <w:rPr>
          <w:rFonts w:asciiTheme="majorBidi" w:hAnsiTheme="majorBidi" w:cstheme="majorBidi"/>
          <w:sz w:val="24"/>
          <w:szCs w:val="24"/>
          <w:lang w:val="en-US" w:bidi="he-IL"/>
        </w:rPr>
        <w:t>Péan</w:t>
      </w:r>
      <w:proofErr w:type="spellEnd"/>
      <w:r w:rsidRPr="00D806D9">
        <w:rPr>
          <w:rFonts w:asciiTheme="majorBidi" w:hAnsiTheme="majorBidi" w:cstheme="majorBidi"/>
          <w:sz w:val="24"/>
          <w:szCs w:val="24"/>
          <w:lang w:val="en-US" w:bidi="he-IL"/>
        </w:rPr>
        <w:t xml:space="preserve">, S. Berger, N. </w:t>
      </w:r>
      <w:proofErr w:type="spellStart"/>
      <w:r w:rsidRPr="00D806D9">
        <w:rPr>
          <w:rFonts w:asciiTheme="majorBidi" w:hAnsiTheme="majorBidi" w:cstheme="majorBidi"/>
          <w:sz w:val="24"/>
          <w:szCs w:val="24"/>
          <w:lang w:val="en-US" w:bidi="he-IL"/>
        </w:rPr>
        <w:t>Caud</w:t>
      </w:r>
      <w:proofErr w:type="spellEnd"/>
      <w:r w:rsidRPr="00D806D9">
        <w:rPr>
          <w:rFonts w:asciiTheme="majorBidi" w:hAnsiTheme="majorBidi" w:cstheme="majorBidi"/>
          <w:sz w:val="24"/>
          <w:szCs w:val="24"/>
          <w:lang w:val="en-US" w:bidi="he-IL"/>
        </w:rPr>
        <w:t xml:space="preserve">, Y. Chen, L. Goldfarb, M. I. </w:t>
      </w:r>
      <w:proofErr w:type="spellStart"/>
      <w:r w:rsidRPr="00D806D9">
        <w:rPr>
          <w:rFonts w:asciiTheme="majorBidi" w:hAnsiTheme="majorBidi" w:cstheme="majorBidi"/>
          <w:sz w:val="24"/>
          <w:szCs w:val="24"/>
          <w:lang w:val="en-US" w:bidi="he-IL"/>
        </w:rPr>
        <w:t>Gomis</w:t>
      </w:r>
      <w:proofErr w:type="spellEnd"/>
      <w:r w:rsidRPr="00D806D9">
        <w:rPr>
          <w:rFonts w:asciiTheme="majorBidi" w:hAnsiTheme="majorBidi" w:cstheme="majorBidi"/>
          <w:sz w:val="24"/>
          <w:szCs w:val="24"/>
          <w:lang w:val="en-US" w:bidi="he-IL"/>
        </w:rPr>
        <w:t xml:space="preserve">, M. Huang, K. </w:t>
      </w:r>
      <w:proofErr w:type="spellStart"/>
      <w:r w:rsidRPr="00D806D9">
        <w:rPr>
          <w:rFonts w:asciiTheme="majorBidi" w:hAnsiTheme="majorBidi" w:cstheme="majorBidi"/>
          <w:sz w:val="24"/>
          <w:szCs w:val="24"/>
          <w:lang w:val="en-US" w:bidi="he-IL"/>
        </w:rPr>
        <w:t>Leitzell</w:t>
      </w:r>
      <w:proofErr w:type="spellEnd"/>
      <w:r w:rsidRPr="00D806D9">
        <w:rPr>
          <w:rFonts w:asciiTheme="majorBidi" w:hAnsiTheme="majorBidi" w:cstheme="majorBidi"/>
          <w:sz w:val="24"/>
          <w:szCs w:val="24"/>
          <w:lang w:val="en-US" w:bidi="he-IL"/>
        </w:rPr>
        <w:t xml:space="preserve">, E. </w:t>
      </w:r>
      <w:proofErr w:type="spellStart"/>
      <w:r w:rsidRPr="00D806D9">
        <w:rPr>
          <w:rFonts w:asciiTheme="majorBidi" w:hAnsiTheme="majorBidi" w:cstheme="majorBidi"/>
          <w:sz w:val="24"/>
          <w:szCs w:val="24"/>
          <w:lang w:val="en-US" w:bidi="he-IL"/>
        </w:rPr>
        <w:t>Lonnoy</w:t>
      </w:r>
      <w:proofErr w:type="spellEnd"/>
      <w:r w:rsidRPr="00D806D9">
        <w:rPr>
          <w:rFonts w:asciiTheme="majorBidi" w:hAnsiTheme="majorBidi" w:cstheme="majorBidi"/>
          <w:sz w:val="24"/>
          <w:szCs w:val="24"/>
          <w:lang w:val="en-US" w:bidi="he-IL"/>
        </w:rPr>
        <w:t xml:space="preserve">, J.B.R. Matthews, T. K. </w:t>
      </w:r>
      <w:proofErr w:type="spellStart"/>
      <w:r w:rsidRPr="00D806D9">
        <w:rPr>
          <w:rFonts w:asciiTheme="majorBidi" w:hAnsiTheme="majorBidi" w:cstheme="majorBidi"/>
          <w:sz w:val="24"/>
          <w:szCs w:val="24"/>
          <w:lang w:val="en-US" w:bidi="he-IL"/>
        </w:rPr>
        <w:t>Maycock</w:t>
      </w:r>
      <w:proofErr w:type="spellEnd"/>
      <w:r w:rsidRPr="00D806D9">
        <w:rPr>
          <w:rFonts w:asciiTheme="majorBidi" w:hAnsiTheme="majorBidi" w:cstheme="majorBidi"/>
          <w:sz w:val="24"/>
          <w:szCs w:val="24"/>
          <w:lang w:val="en-US" w:bidi="he-IL"/>
        </w:rPr>
        <w:t xml:space="preserve">, T. Waterfield, O. </w:t>
      </w:r>
      <w:proofErr w:type="spellStart"/>
      <w:r w:rsidRPr="00D806D9">
        <w:rPr>
          <w:rFonts w:asciiTheme="majorBidi" w:hAnsiTheme="majorBidi" w:cstheme="majorBidi"/>
          <w:sz w:val="24"/>
          <w:szCs w:val="24"/>
          <w:lang w:val="en-US" w:bidi="he-IL"/>
        </w:rPr>
        <w:t>Yelekçi</w:t>
      </w:r>
      <w:proofErr w:type="spellEnd"/>
      <w:r w:rsidRPr="00D806D9">
        <w:rPr>
          <w:rFonts w:asciiTheme="majorBidi" w:hAnsiTheme="majorBidi" w:cstheme="majorBidi"/>
          <w:sz w:val="24"/>
          <w:szCs w:val="24"/>
          <w:lang w:val="en-US" w:bidi="he-IL"/>
        </w:rPr>
        <w:t>, R. Yu &amp; B. Zhou (eds.)]. Cambridge University Press. In Press.</w:t>
      </w:r>
      <w:r w:rsidRPr="00D806D9">
        <w:rPr>
          <w:rFonts w:asciiTheme="majorBidi" w:hAnsiTheme="majorBidi" w:cstheme="majorBidi"/>
          <w:sz w:val="24"/>
          <w:szCs w:val="24"/>
          <w:lang w:val="en-US"/>
        </w:rPr>
        <w:t xml:space="preserve"> </w:t>
      </w:r>
      <w:hyperlink r:id="rId84" w:history="1">
        <w:r w:rsidRPr="00D806D9">
          <w:rPr>
            <w:rStyle w:val="Hyperlink"/>
            <w:rFonts w:asciiTheme="majorBidi" w:hAnsiTheme="majorBidi" w:cstheme="majorBidi"/>
            <w:sz w:val="24"/>
            <w:szCs w:val="24"/>
            <w:lang w:val="en-US"/>
          </w:rPr>
          <w:t>Link</w:t>
        </w:r>
      </w:hyperlink>
    </w:p>
    <w:p w14:paraId="44D024A1" w14:textId="77777777" w:rsidR="00BC09BE" w:rsidRPr="00D806D9" w:rsidRDefault="00BC09BE" w:rsidP="00003440">
      <w:pPr>
        <w:autoSpaceDE w:val="0"/>
        <w:autoSpaceDN w:val="0"/>
        <w:adjustRightInd w:val="0"/>
        <w:spacing w:after="0" w:line="240" w:lineRule="auto"/>
        <w:jc w:val="both"/>
        <w:rPr>
          <w:rFonts w:asciiTheme="majorBidi" w:hAnsiTheme="majorBidi" w:cstheme="majorBidi"/>
          <w:sz w:val="24"/>
          <w:szCs w:val="24"/>
          <w:lang w:val="en-US"/>
        </w:rPr>
      </w:pPr>
    </w:p>
    <w:p w14:paraId="46F98613" w14:textId="4CE526A6"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IPCC. (2022</w:t>
      </w:r>
      <w:r w:rsidR="0003342C" w:rsidRPr="00D806D9">
        <w:rPr>
          <w:rFonts w:asciiTheme="majorBidi" w:hAnsiTheme="majorBidi" w:cstheme="majorBidi"/>
          <w:sz w:val="24"/>
          <w:szCs w:val="24"/>
          <w:lang w:val="en-US"/>
        </w:rPr>
        <w:t>a</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bidi="he-IL"/>
        </w:rPr>
        <w:t>Climate Change 2022: Impacts, Adaptations and Vulnerability. Contribution of Working Group II to the Sixth Assessment Report of the Intergovernmental Panel on Climate Change</w:t>
      </w:r>
      <w:r w:rsidRPr="00D806D9">
        <w:rPr>
          <w:rFonts w:asciiTheme="majorBidi" w:hAnsiTheme="majorBidi" w:cstheme="majorBidi"/>
          <w:sz w:val="24"/>
          <w:szCs w:val="24"/>
          <w:lang w:val="en-US"/>
        </w:rPr>
        <w:t xml:space="preserve">. </w:t>
      </w:r>
      <w:hyperlink r:id="rId85" w:history="1">
        <w:r w:rsidRPr="00D806D9">
          <w:rPr>
            <w:rStyle w:val="Hyperlink"/>
            <w:rFonts w:asciiTheme="majorBidi" w:hAnsiTheme="majorBidi" w:cstheme="majorBidi"/>
            <w:sz w:val="24"/>
            <w:szCs w:val="24"/>
            <w:lang w:val="en-US"/>
          </w:rPr>
          <w:t>Link</w:t>
        </w:r>
      </w:hyperlink>
    </w:p>
    <w:p w14:paraId="0114F02B" w14:textId="77777777" w:rsidR="00BC09BE" w:rsidRPr="00D806D9" w:rsidRDefault="00BC09BE" w:rsidP="00003440">
      <w:pPr>
        <w:pStyle w:val="FootnoteText"/>
        <w:jc w:val="both"/>
        <w:rPr>
          <w:rFonts w:asciiTheme="majorBidi" w:hAnsiTheme="majorBidi" w:cstheme="majorBidi"/>
          <w:sz w:val="24"/>
          <w:szCs w:val="24"/>
          <w:lang w:val="en-US"/>
        </w:rPr>
      </w:pPr>
    </w:p>
    <w:p w14:paraId="6D996409" w14:textId="1B4E5207"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IPCC. (2022b). The Evidence is Clear: the Time for Action is Now. We can halve emissions by 2030. </w:t>
      </w:r>
      <w:r w:rsidRPr="00D806D9">
        <w:rPr>
          <w:rFonts w:asciiTheme="majorBidi" w:hAnsiTheme="majorBidi" w:cstheme="majorBidi"/>
          <w:i/>
          <w:iCs/>
          <w:sz w:val="24"/>
          <w:szCs w:val="24"/>
          <w:lang w:val="en-US"/>
        </w:rPr>
        <w:t xml:space="preserve">IPCC press release </w:t>
      </w:r>
      <w:r w:rsidRPr="00D806D9">
        <w:rPr>
          <w:rFonts w:asciiTheme="majorBidi" w:hAnsiTheme="majorBidi" w:cstheme="majorBidi"/>
          <w:sz w:val="24"/>
          <w:szCs w:val="24"/>
          <w:lang w:val="en-US"/>
        </w:rPr>
        <w:t xml:space="preserve">[2022/15/PR]. </w:t>
      </w:r>
      <w:hyperlink r:id="rId86" w:history="1">
        <w:r w:rsidRPr="00D806D9">
          <w:rPr>
            <w:rStyle w:val="Hyperlink"/>
            <w:rFonts w:asciiTheme="majorBidi" w:hAnsiTheme="majorBidi" w:cstheme="majorBidi"/>
            <w:sz w:val="24"/>
            <w:szCs w:val="24"/>
            <w:lang w:val="en-US"/>
          </w:rPr>
          <w:t>Link</w:t>
        </w:r>
      </w:hyperlink>
    </w:p>
    <w:p w14:paraId="26ADA56E" w14:textId="77777777" w:rsidR="00BC09BE" w:rsidRPr="00D806D9" w:rsidRDefault="00BC09BE" w:rsidP="00003440">
      <w:pPr>
        <w:pStyle w:val="FootnoteText"/>
        <w:jc w:val="both"/>
        <w:rPr>
          <w:rFonts w:asciiTheme="majorBidi" w:hAnsiTheme="majorBidi" w:cstheme="majorBidi"/>
          <w:sz w:val="24"/>
          <w:szCs w:val="24"/>
          <w:lang w:val="en-US"/>
        </w:rPr>
      </w:pPr>
    </w:p>
    <w:p w14:paraId="309FA502" w14:textId="6EB045AC"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IRENA. (2022a). </w:t>
      </w:r>
      <w:r w:rsidRPr="00D806D9">
        <w:rPr>
          <w:rFonts w:asciiTheme="majorBidi" w:hAnsiTheme="majorBidi" w:cstheme="majorBidi"/>
          <w:i/>
          <w:iCs/>
          <w:sz w:val="24"/>
          <w:szCs w:val="24"/>
          <w:lang w:val="en-US"/>
        </w:rPr>
        <w:t>Decarbonising End-Use Sectors: Green Hydrogen Certification</w:t>
      </w:r>
      <w:r w:rsidRPr="00D806D9">
        <w:rPr>
          <w:rFonts w:asciiTheme="majorBidi" w:hAnsiTheme="majorBidi" w:cstheme="majorBidi"/>
          <w:sz w:val="24"/>
          <w:szCs w:val="24"/>
          <w:lang w:val="en-US"/>
        </w:rPr>
        <w:t xml:space="preserve">. </w:t>
      </w:r>
      <w:hyperlink r:id="rId87" w:history="1">
        <w:r w:rsidRPr="00D806D9">
          <w:rPr>
            <w:rStyle w:val="Hyperlink"/>
            <w:rFonts w:asciiTheme="majorBidi" w:hAnsiTheme="majorBidi" w:cstheme="majorBidi"/>
            <w:sz w:val="24"/>
            <w:szCs w:val="24"/>
            <w:lang w:val="en-US"/>
          </w:rPr>
          <w:t>Link</w:t>
        </w:r>
      </w:hyperlink>
    </w:p>
    <w:p w14:paraId="7B6DDA15" w14:textId="77777777" w:rsidR="00BC09BE" w:rsidRPr="00D806D9" w:rsidRDefault="00BC09BE" w:rsidP="00003440">
      <w:pPr>
        <w:pStyle w:val="FootnoteText"/>
        <w:jc w:val="both"/>
        <w:rPr>
          <w:rFonts w:asciiTheme="majorBidi" w:hAnsiTheme="majorBidi" w:cstheme="majorBidi"/>
          <w:sz w:val="24"/>
          <w:szCs w:val="24"/>
          <w:lang w:val="en-US"/>
        </w:rPr>
      </w:pPr>
    </w:p>
    <w:p w14:paraId="7789FB64" w14:textId="4054488C" w:rsidR="00E60725" w:rsidRPr="00397B73" w:rsidRDefault="00E60725" w:rsidP="00003440">
      <w:pPr>
        <w:pStyle w:val="FootnoteText"/>
        <w:jc w:val="both"/>
        <w:rPr>
          <w:rStyle w:val="Hyperlink"/>
          <w:rFonts w:asciiTheme="majorBidi" w:hAnsiTheme="majorBidi" w:cstheme="majorBidi"/>
          <w:sz w:val="24"/>
          <w:szCs w:val="24"/>
        </w:rPr>
      </w:pPr>
      <w:r w:rsidRPr="00D806D9">
        <w:rPr>
          <w:rFonts w:asciiTheme="majorBidi" w:hAnsiTheme="majorBidi" w:cstheme="majorBidi"/>
          <w:sz w:val="24"/>
          <w:szCs w:val="24"/>
          <w:lang w:val="en-US"/>
        </w:rPr>
        <w:t xml:space="preserve">IRENA. (2022b). </w:t>
      </w:r>
      <w:r w:rsidRPr="00D806D9">
        <w:rPr>
          <w:rFonts w:asciiTheme="majorBidi" w:hAnsiTheme="majorBidi" w:cstheme="majorBidi"/>
          <w:i/>
          <w:iCs/>
          <w:sz w:val="24"/>
          <w:szCs w:val="24"/>
          <w:lang w:val="en-US"/>
        </w:rPr>
        <w:t>Geopolitics of the Energy Transformation - The Hydrogen Factor</w:t>
      </w:r>
      <w:r w:rsidRPr="00D806D9">
        <w:rPr>
          <w:rFonts w:asciiTheme="majorBidi" w:hAnsiTheme="majorBidi" w:cstheme="majorBidi"/>
          <w:sz w:val="24"/>
          <w:szCs w:val="24"/>
          <w:lang w:val="en-US"/>
        </w:rPr>
        <w:t xml:space="preserve">. </w:t>
      </w:r>
      <w:hyperlink r:id="rId88" w:history="1">
        <w:r w:rsidRPr="00397B73">
          <w:rPr>
            <w:rStyle w:val="Hyperlink"/>
            <w:rFonts w:asciiTheme="majorBidi" w:hAnsiTheme="majorBidi" w:cstheme="majorBidi"/>
            <w:sz w:val="24"/>
            <w:szCs w:val="24"/>
          </w:rPr>
          <w:t>Link</w:t>
        </w:r>
      </w:hyperlink>
    </w:p>
    <w:p w14:paraId="7C6FF281" w14:textId="77777777" w:rsidR="00BC09BE" w:rsidRPr="00397B73" w:rsidRDefault="00BC09BE" w:rsidP="00003440">
      <w:pPr>
        <w:pStyle w:val="FootnoteText"/>
        <w:jc w:val="both"/>
        <w:rPr>
          <w:rFonts w:asciiTheme="majorBidi" w:hAnsiTheme="majorBidi" w:cstheme="majorBidi"/>
          <w:sz w:val="24"/>
          <w:szCs w:val="24"/>
        </w:rPr>
      </w:pPr>
    </w:p>
    <w:p w14:paraId="037E17FA" w14:textId="14F01EF5"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bookmarkStart w:id="26" w:name="_Hlk110429294"/>
      <w:r w:rsidRPr="00397B73">
        <w:rPr>
          <w:rFonts w:asciiTheme="majorBidi" w:hAnsiTheme="majorBidi" w:cstheme="majorBidi"/>
          <w:sz w:val="24"/>
          <w:szCs w:val="24"/>
        </w:rPr>
        <w:t>Kakoulaki</w:t>
      </w:r>
      <w:bookmarkEnd w:id="26"/>
      <w:r w:rsidRPr="00397B73">
        <w:rPr>
          <w:rFonts w:asciiTheme="majorBidi" w:hAnsiTheme="majorBidi" w:cstheme="majorBidi"/>
          <w:sz w:val="24"/>
          <w:szCs w:val="24"/>
        </w:rPr>
        <w:t xml:space="preserve">, G., </w:t>
      </w:r>
      <w:proofErr w:type="spellStart"/>
      <w:r w:rsidRPr="00397B73">
        <w:rPr>
          <w:rFonts w:asciiTheme="majorBidi" w:hAnsiTheme="majorBidi" w:cstheme="majorBidi"/>
          <w:sz w:val="24"/>
          <w:szCs w:val="24"/>
        </w:rPr>
        <w:t>Kougias</w:t>
      </w:r>
      <w:proofErr w:type="spellEnd"/>
      <w:r w:rsidRPr="00397B73">
        <w:rPr>
          <w:rFonts w:asciiTheme="majorBidi" w:hAnsiTheme="majorBidi" w:cstheme="majorBidi"/>
          <w:sz w:val="24"/>
          <w:szCs w:val="24"/>
        </w:rPr>
        <w:t xml:space="preserve"> I., Taylor, N., </w:t>
      </w:r>
      <w:proofErr w:type="spellStart"/>
      <w:r w:rsidRPr="00397B73">
        <w:rPr>
          <w:rFonts w:asciiTheme="majorBidi" w:hAnsiTheme="majorBidi" w:cstheme="majorBidi"/>
          <w:sz w:val="24"/>
          <w:szCs w:val="24"/>
        </w:rPr>
        <w:t>Dolci</w:t>
      </w:r>
      <w:proofErr w:type="spellEnd"/>
      <w:r w:rsidRPr="00397B73">
        <w:rPr>
          <w:rFonts w:asciiTheme="majorBidi" w:hAnsiTheme="majorBidi" w:cstheme="majorBidi"/>
          <w:sz w:val="24"/>
          <w:szCs w:val="24"/>
        </w:rPr>
        <w:t xml:space="preserve">, F., Moya, J., &amp; </w:t>
      </w:r>
      <w:proofErr w:type="spellStart"/>
      <w:r w:rsidRPr="00397B73">
        <w:rPr>
          <w:rFonts w:asciiTheme="majorBidi" w:hAnsiTheme="majorBidi" w:cstheme="majorBidi"/>
          <w:sz w:val="24"/>
          <w:szCs w:val="24"/>
        </w:rPr>
        <w:t>Jäger-Waldau</w:t>
      </w:r>
      <w:proofErr w:type="spellEnd"/>
      <w:r w:rsidRPr="00397B73">
        <w:rPr>
          <w:rFonts w:asciiTheme="majorBidi" w:hAnsiTheme="majorBidi" w:cstheme="majorBidi"/>
          <w:sz w:val="24"/>
          <w:szCs w:val="24"/>
        </w:rPr>
        <w:t xml:space="preserve">, A. (2021). </w:t>
      </w:r>
      <w:r w:rsidRPr="00D806D9">
        <w:rPr>
          <w:rFonts w:asciiTheme="majorBidi" w:hAnsiTheme="majorBidi" w:cstheme="majorBidi"/>
          <w:sz w:val="24"/>
          <w:szCs w:val="24"/>
          <w:lang w:val="en-US"/>
        </w:rPr>
        <w:t xml:space="preserve">Green Hydrogen in Europe - A regional Assessment: Substituting Existing Production with Electrolysis Powered by Renewables. </w:t>
      </w:r>
      <w:r w:rsidRPr="00D806D9">
        <w:rPr>
          <w:rFonts w:asciiTheme="majorBidi" w:hAnsiTheme="majorBidi" w:cstheme="majorBidi"/>
          <w:i/>
          <w:iCs/>
          <w:sz w:val="24"/>
          <w:szCs w:val="24"/>
          <w:lang w:val="en-US"/>
        </w:rPr>
        <w:t>Energy Conversion and Management</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228</w:t>
      </w:r>
      <w:r w:rsidRPr="00D806D9">
        <w:rPr>
          <w:rFonts w:asciiTheme="majorBidi" w:hAnsiTheme="majorBidi" w:cstheme="majorBidi"/>
          <w:sz w:val="24"/>
          <w:szCs w:val="24"/>
          <w:lang w:val="en-US"/>
        </w:rPr>
        <w:t>, Article 113649.</w:t>
      </w:r>
      <w:r w:rsidR="002526CB" w:rsidRPr="00D806D9">
        <w:rPr>
          <w:rFonts w:asciiTheme="majorBidi" w:hAnsiTheme="majorBidi" w:cstheme="majorBidi"/>
          <w:sz w:val="24"/>
          <w:szCs w:val="24"/>
          <w:lang w:val="en-US"/>
        </w:rPr>
        <w:t xml:space="preserve"> </w:t>
      </w:r>
      <w:hyperlink r:id="rId89" w:history="1">
        <w:r w:rsidR="002526CB" w:rsidRPr="00D806D9">
          <w:rPr>
            <w:rStyle w:val="Hyperlink"/>
            <w:rFonts w:asciiTheme="majorBidi" w:hAnsiTheme="majorBidi" w:cstheme="majorBidi"/>
            <w:sz w:val="24"/>
            <w:szCs w:val="24"/>
            <w:lang w:val="en-US"/>
          </w:rPr>
          <w:t>Link</w:t>
        </w:r>
      </w:hyperlink>
    </w:p>
    <w:p w14:paraId="176A93FC" w14:textId="04D77D62" w:rsidR="00E60725" w:rsidRPr="00D806D9" w:rsidRDefault="00E60725" w:rsidP="00003440">
      <w:pPr>
        <w:spacing w:after="0" w:line="240" w:lineRule="auto"/>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lastRenderedPageBreak/>
        <w:t xml:space="preserve">Kaplow, L., &amp; Shavell, S. (2002). On the Superiority of Corrective Taxes to Quantity Regulation. </w:t>
      </w:r>
      <w:r w:rsidRPr="00D806D9">
        <w:rPr>
          <w:rFonts w:asciiTheme="majorBidi" w:hAnsiTheme="majorBidi" w:cstheme="majorBidi"/>
          <w:i/>
          <w:iCs/>
          <w:sz w:val="24"/>
          <w:szCs w:val="24"/>
          <w:lang w:val="en-US"/>
        </w:rPr>
        <w:t>American Law and Economics Review</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4</w:t>
      </w:r>
      <w:r w:rsidRPr="00D806D9">
        <w:rPr>
          <w:rFonts w:asciiTheme="majorBidi" w:hAnsiTheme="majorBidi" w:cstheme="majorBidi"/>
          <w:sz w:val="24"/>
          <w:szCs w:val="24"/>
          <w:lang w:val="en-US"/>
        </w:rPr>
        <w:t xml:space="preserve">(1), 1-17. </w:t>
      </w:r>
      <w:hyperlink r:id="rId90" w:history="1">
        <w:r w:rsidRPr="00D806D9">
          <w:rPr>
            <w:rStyle w:val="Hyperlink"/>
            <w:rFonts w:asciiTheme="majorBidi" w:hAnsiTheme="majorBidi" w:cstheme="majorBidi"/>
            <w:sz w:val="24"/>
            <w:szCs w:val="24"/>
            <w:lang w:val="en-US"/>
          </w:rPr>
          <w:t>Link</w:t>
        </w:r>
      </w:hyperlink>
    </w:p>
    <w:p w14:paraId="59F1D1C5" w14:textId="77777777" w:rsidR="00A56E8A" w:rsidRPr="00D806D9" w:rsidRDefault="00A56E8A" w:rsidP="00003440">
      <w:pPr>
        <w:spacing w:after="0" w:line="240" w:lineRule="auto"/>
        <w:jc w:val="both"/>
        <w:rPr>
          <w:rFonts w:asciiTheme="majorBidi" w:hAnsiTheme="majorBidi" w:cstheme="majorBidi"/>
          <w:sz w:val="24"/>
          <w:szCs w:val="24"/>
          <w:lang w:val="en-US"/>
        </w:rPr>
      </w:pPr>
    </w:p>
    <w:p w14:paraId="6EBBECEE" w14:textId="2E43AD03"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Kemp, R. (2010). Eco-Innovation: Definition, Measurement and Open Research Issues. </w:t>
      </w:r>
      <w:r w:rsidRPr="00D806D9">
        <w:rPr>
          <w:rFonts w:asciiTheme="majorBidi" w:hAnsiTheme="majorBidi" w:cstheme="majorBidi"/>
          <w:i/>
          <w:iCs/>
          <w:sz w:val="24"/>
          <w:szCs w:val="24"/>
          <w:lang w:val="en-US"/>
        </w:rPr>
        <w:t xml:space="preserve">Economia </w:t>
      </w:r>
      <w:proofErr w:type="spellStart"/>
      <w:r w:rsidRPr="00D806D9">
        <w:rPr>
          <w:rFonts w:asciiTheme="majorBidi" w:hAnsiTheme="majorBidi" w:cstheme="majorBidi"/>
          <w:i/>
          <w:iCs/>
          <w:sz w:val="24"/>
          <w:szCs w:val="24"/>
          <w:lang w:val="en-US"/>
        </w:rPr>
        <w:t>Politica</w:t>
      </w:r>
      <w:proofErr w:type="spellEnd"/>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27</w:t>
      </w:r>
      <w:r w:rsidRPr="00D806D9">
        <w:rPr>
          <w:rFonts w:asciiTheme="majorBidi" w:hAnsiTheme="majorBidi" w:cstheme="majorBidi"/>
          <w:sz w:val="24"/>
          <w:szCs w:val="24"/>
          <w:lang w:val="en-US"/>
        </w:rPr>
        <w:t>(3), 397-420.</w:t>
      </w:r>
      <w:r w:rsidR="00240B4D" w:rsidRPr="00D806D9">
        <w:rPr>
          <w:rFonts w:asciiTheme="majorBidi" w:hAnsiTheme="majorBidi" w:cstheme="majorBidi"/>
          <w:sz w:val="24"/>
          <w:szCs w:val="24"/>
          <w:lang w:val="en-US"/>
        </w:rPr>
        <w:t xml:space="preserve"> </w:t>
      </w:r>
      <w:hyperlink r:id="rId91" w:history="1">
        <w:r w:rsidR="00240B4D" w:rsidRPr="00D806D9">
          <w:rPr>
            <w:rStyle w:val="Hyperlink"/>
            <w:rFonts w:asciiTheme="majorBidi" w:hAnsiTheme="majorBidi" w:cstheme="majorBidi"/>
            <w:sz w:val="24"/>
            <w:szCs w:val="24"/>
            <w:lang w:val="en-US"/>
          </w:rPr>
          <w:t>Link</w:t>
        </w:r>
      </w:hyperlink>
    </w:p>
    <w:p w14:paraId="5C2BFC44"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3A7D641E" w14:textId="1E79A767" w:rsidR="00E60725" w:rsidRPr="00D806D9" w:rsidRDefault="00E60725" w:rsidP="00003440">
      <w:pPr>
        <w:spacing w:after="0" w:line="240" w:lineRule="auto"/>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Köberle, A.C., </w:t>
      </w:r>
      <w:proofErr w:type="spellStart"/>
      <w:r w:rsidRPr="00D806D9">
        <w:rPr>
          <w:rFonts w:asciiTheme="majorBidi" w:hAnsiTheme="majorBidi" w:cstheme="majorBidi"/>
          <w:sz w:val="24"/>
          <w:szCs w:val="24"/>
          <w:lang w:val="en-US"/>
        </w:rPr>
        <w:t>Vandyck</w:t>
      </w:r>
      <w:proofErr w:type="spellEnd"/>
      <w:r w:rsidRPr="00D806D9">
        <w:rPr>
          <w:rFonts w:asciiTheme="majorBidi" w:hAnsiTheme="majorBidi" w:cstheme="majorBidi"/>
          <w:sz w:val="24"/>
          <w:szCs w:val="24"/>
          <w:lang w:val="en-US"/>
        </w:rPr>
        <w:t xml:space="preserve">, T., </w:t>
      </w:r>
      <w:proofErr w:type="spellStart"/>
      <w:r w:rsidRPr="00D806D9">
        <w:rPr>
          <w:rFonts w:asciiTheme="majorBidi" w:hAnsiTheme="majorBidi" w:cstheme="majorBidi"/>
          <w:sz w:val="24"/>
          <w:szCs w:val="24"/>
          <w:lang w:val="en-US"/>
        </w:rPr>
        <w:t>Guivarch</w:t>
      </w:r>
      <w:proofErr w:type="spellEnd"/>
      <w:r w:rsidRPr="00D806D9">
        <w:rPr>
          <w:rFonts w:asciiTheme="majorBidi" w:hAnsiTheme="majorBidi" w:cstheme="majorBidi"/>
          <w:sz w:val="24"/>
          <w:szCs w:val="24"/>
          <w:lang w:val="en-US"/>
        </w:rPr>
        <w:t xml:space="preserve">, C., Macaluso, N., </w:t>
      </w:r>
      <w:proofErr w:type="spellStart"/>
      <w:r w:rsidRPr="00D806D9">
        <w:rPr>
          <w:rFonts w:asciiTheme="majorBidi" w:hAnsiTheme="majorBidi" w:cstheme="majorBidi"/>
          <w:sz w:val="24"/>
          <w:szCs w:val="24"/>
          <w:lang w:val="en-US"/>
        </w:rPr>
        <w:t>Bosetti</w:t>
      </w:r>
      <w:proofErr w:type="spellEnd"/>
      <w:r w:rsidRPr="00D806D9">
        <w:rPr>
          <w:rFonts w:asciiTheme="majorBidi" w:hAnsiTheme="majorBidi" w:cstheme="majorBidi"/>
          <w:sz w:val="24"/>
          <w:szCs w:val="24"/>
          <w:lang w:val="en-US"/>
        </w:rPr>
        <w:t xml:space="preserve">, V., Gambhir, A., </w:t>
      </w:r>
      <w:proofErr w:type="spellStart"/>
      <w:r w:rsidRPr="00D806D9">
        <w:rPr>
          <w:rFonts w:asciiTheme="majorBidi" w:hAnsiTheme="majorBidi" w:cstheme="majorBidi"/>
          <w:sz w:val="24"/>
          <w:szCs w:val="24"/>
          <w:lang w:val="en-US"/>
        </w:rPr>
        <w:t>Tavoni</w:t>
      </w:r>
      <w:proofErr w:type="spellEnd"/>
      <w:r w:rsidRPr="00D806D9">
        <w:rPr>
          <w:rFonts w:asciiTheme="majorBidi" w:hAnsiTheme="majorBidi" w:cstheme="majorBidi"/>
          <w:sz w:val="24"/>
          <w:szCs w:val="24"/>
          <w:lang w:val="en-US"/>
        </w:rPr>
        <w:t xml:space="preserve">, M., &amp; </w:t>
      </w:r>
      <w:proofErr w:type="spellStart"/>
      <w:r w:rsidRPr="00D806D9">
        <w:rPr>
          <w:rFonts w:asciiTheme="majorBidi" w:hAnsiTheme="majorBidi" w:cstheme="majorBidi"/>
          <w:sz w:val="24"/>
          <w:szCs w:val="24"/>
          <w:lang w:val="en-US"/>
        </w:rPr>
        <w:t>Rogelj</w:t>
      </w:r>
      <w:proofErr w:type="spellEnd"/>
      <w:r w:rsidRPr="00D806D9">
        <w:rPr>
          <w:rFonts w:asciiTheme="majorBidi" w:hAnsiTheme="majorBidi" w:cstheme="majorBidi"/>
          <w:sz w:val="24"/>
          <w:szCs w:val="24"/>
          <w:lang w:val="en-US"/>
        </w:rPr>
        <w:t>, J. (2021). The Cost of Mitigation Revisited. </w:t>
      </w:r>
      <w:r w:rsidRPr="00D806D9">
        <w:rPr>
          <w:rFonts w:asciiTheme="majorBidi" w:hAnsiTheme="majorBidi" w:cstheme="majorBidi"/>
          <w:i/>
          <w:iCs/>
          <w:sz w:val="24"/>
          <w:szCs w:val="24"/>
          <w:lang w:val="en-US"/>
        </w:rPr>
        <w:t>Nature Climate Change</w:t>
      </w:r>
      <w:r w:rsidRPr="00D806D9">
        <w:rPr>
          <w:rFonts w:asciiTheme="majorBidi" w:hAnsiTheme="majorBidi" w:cstheme="majorBidi"/>
          <w:sz w:val="24"/>
          <w:szCs w:val="24"/>
          <w:lang w:val="en-US"/>
        </w:rPr>
        <w:t>, </w:t>
      </w:r>
      <w:r w:rsidRPr="00D806D9">
        <w:rPr>
          <w:rFonts w:asciiTheme="majorBidi" w:hAnsiTheme="majorBidi" w:cstheme="majorBidi"/>
          <w:i/>
          <w:iCs/>
          <w:sz w:val="24"/>
          <w:szCs w:val="24"/>
          <w:lang w:val="en-US"/>
        </w:rPr>
        <w:t>11</w:t>
      </w:r>
      <w:r w:rsidRPr="00D806D9">
        <w:rPr>
          <w:rFonts w:asciiTheme="majorBidi" w:hAnsiTheme="majorBidi" w:cstheme="majorBidi"/>
          <w:sz w:val="24"/>
          <w:szCs w:val="24"/>
          <w:lang w:val="en-US"/>
        </w:rPr>
        <w:t xml:space="preserve">, 1035-1045. </w:t>
      </w:r>
      <w:hyperlink r:id="rId92" w:history="1">
        <w:r w:rsidRPr="00D806D9">
          <w:rPr>
            <w:rStyle w:val="Hyperlink"/>
            <w:rFonts w:asciiTheme="majorBidi" w:hAnsiTheme="majorBidi" w:cstheme="majorBidi"/>
            <w:sz w:val="24"/>
            <w:szCs w:val="24"/>
            <w:lang w:val="en-US"/>
          </w:rPr>
          <w:t>Link</w:t>
        </w:r>
      </w:hyperlink>
    </w:p>
    <w:p w14:paraId="3C17E712" w14:textId="77777777" w:rsidR="00A56E8A" w:rsidRPr="00D806D9" w:rsidRDefault="00A56E8A" w:rsidP="00003440">
      <w:pPr>
        <w:spacing w:after="0" w:line="240" w:lineRule="auto"/>
        <w:jc w:val="both"/>
        <w:rPr>
          <w:rFonts w:asciiTheme="majorBidi" w:hAnsiTheme="majorBidi" w:cstheme="majorBidi"/>
          <w:color w:val="222222"/>
          <w:sz w:val="24"/>
          <w:szCs w:val="24"/>
          <w:shd w:val="clear" w:color="auto" w:fill="FFFFFF"/>
          <w:lang w:val="en-US"/>
        </w:rPr>
      </w:pPr>
    </w:p>
    <w:p w14:paraId="77769DE6" w14:textId="7C087068" w:rsidR="00E60725" w:rsidRPr="00397B73"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de-AT" w:eastAsia="fr-FR" w:bidi="he-IL"/>
        </w:rPr>
      </w:pPr>
      <w:bookmarkStart w:id="27" w:name="_Hlk110789475"/>
      <w:r w:rsidRPr="00D806D9">
        <w:rPr>
          <w:rFonts w:asciiTheme="majorBidi" w:eastAsia="Times New Roman" w:hAnsiTheme="majorBidi" w:cstheme="majorBidi"/>
          <w:sz w:val="24"/>
          <w:szCs w:val="24"/>
          <w:lang w:val="en-US" w:eastAsia="fr-FR" w:bidi="he-IL"/>
        </w:rPr>
        <w:t xml:space="preserve">Koch, N., </w:t>
      </w:r>
      <w:bookmarkStart w:id="28" w:name="bau0015"/>
      <w:r w:rsidRPr="00D806D9">
        <w:rPr>
          <w:rFonts w:asciiTheme="majorBidi" w:eastAsia="Times New Roman" w:hAnsiTheme="majorBidi" w:cstheme="majorBidi"/>
          <w:sz w:val="24"/>
          <w:szCs w:val="24"/>
          <w:lang w:val="en-US" w:eastAsia="fr-FR" w:bidi="he-IL"/>
        </w:rPr>
        <w:t>Fuss</w:t>
      </w:r>
      <w:bookmarkEnd w:id="27"/>
      <w:r w:rsidRPr="00D806D9">
        <w:rPr>
          <w:rFonts w:asciiTheme="majorBidi" w:eastAsia="Times New Roman" w:hAnsiTheme="majorBidi" w:cstheme="majorBidi"/>
          <w:sz w:val="24"/>
          <w:szCs w:val="24"/>
          <w:lang w:val="en-US" w:eastAsia="fr-FR" w:bidi="he-IL"/>
        </w:rPr>
        <w:t xml:space="preserve">, S., </w:t>
      </w:r>
      <w:bookmarkStart w:id="29" w:name="bau0020"/>
      <w:bookmarkEnd w:id="28"/>
      <w:proofErr w:type="spellStart"/>
      <w:r w:rsidRPr="00D806D9">
        <w:rPr>
          <w:rFonts w:asciiTheme="majorBidi" w:eastAsia="Times New Roman" w:hAnsiTheme="majorBidi" w:cstheme="majorBidi"/>
          <w:sz w:val="24"/>
          <w:szCs w:val="24"/>
          <w:lang w:val="en-US" w:eastAsia="fr-FR" w:bidi="he-IL"/>
        </w:rPr>
        <w:t>Grojean</w:t>
      </w:r>
      <w:proofErr w:type="spellEnd"/>
      <w:r w:rsidRPr="00D806D9">
        <w:rPr>
          <w:rFonts w:asciiTheme="majorBidi" w:eastAsia="Times New Roman" w:hAnsiTheme="majorBidi" w:cstheme="majorBidi"/>
          <w:sz w:val="24"/>
          <w:szCs w:val="24"/>
          <w:lang w:val="en-US" w:eastAsia="fr-FR" w:bidi="he-IL"/>
        </w:rPr>
        <w:t xml:space="preserve">, G., &amp; </w:t>
      </w:r>
      <w:bookmarkEnd w:id="29"/>
      <w:r w:rsidRPr="00D806D9">
        <w:rPr>
          <w:rFonts w:asciiTheme="majorBidi" w:eastAsia="Times New Roman" w:hAnsiTheme="majorBidi" w:cstheme="majorBidi"/>
          <w:sz w:val="24"/>
          <w:szCs w:val="24"/>
          <w:lang w:val="en-US" w:eastAsia="fr-FR" w:bidi="he-IL"/>
        </w:rPr>
        <w:t xml:space="preserve">Edenhofer, G. (2014). Causes of the EU ETS Price Drop: Recession, CDM, Renewable Policies or A Bit of Everything? - New Evidence, </w:t>
      </w:r>
      <w:r w:rsidRPr="00D806D9">
        <w:rPr>
          <w:rFonts w:asciiTheme="majorBidi" w:eastAsia="Times New Roman" w:hAnsiTheme="majorBidi" w:cstheme="majorBidi"/>
          <w:i/>
          <w:iCs/>
          <w:sz w:val="24"/>
          <w:szCs w:val="24"/>
          <w:lang w:val="en-US" w:eastAsia="fr-FR" w:bidi="he-IL"/>
        </w:rPr>
        <w:t>Energy Policy</w:t>
      </w:r>
      <w:r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i/>
          <w:iCs/>
          <w:sz w:val="24"/>
          <w:szCs w:val="24"/>
          <w:lang w:val="en-US" w:eastAsia="fr-FR" w:bidi="he-IL"/>
        </w:rPr>
        <w:t>73</w:t>
      </w:r>
      <w:r w:rsidRPr="00D806D9">
        <w:rPr>
          <w:rFonts w:asciiTheme="majorBidi" w:eastAsia="Times New Roman" w:hAnsiTheme="majorBidi" w:cstheme="majorBidi"/>
          <w:sz w:val="24"/>
          <w:szCs w:val="24"/>
          <w:lang w:val="en-US" w:eastAsia="fr-FR" w:bidi="he-IL"/>
        </w:rPr>
        <w:t xml:space="preserve">, p.676-685. </w:t>
      </w:r>
      <w:hyperlink r:id="rId93" w:history="1">
        <w:r w:rsidRPr="00397B73">
          <w:rPr>
            <w:rStyle w:val="Hyperlink"/>
            <w:rFonts w:asciiTheme="majorBidi" w:eastAsia="Times New Roman" w:hAnsiTheme="majorBidi" w:cstheme="majorBidi"/>
            <w:sz w:val="24"/>
            <w:szCs w:val="24"/>
            <w:lang w:val="de-AT" w:eastAsia="fr-FR" w:bidi="he-IL"/>
          </w:rPr>
          <w:t>Link</w:t>
        </w:r>
      </w:hyperlink>
    </w:p>
    <w:p w14:paraId="6ACD41EF" w14:textId="77777777" w:rsidR="00A56E8A" w:rsidRPr="00397B73" w:rsidRDefault="00A56E8A" w:rsidP="00003440">
      <w:pPr>
        <w:autoSpaceDE w:val="0"/>
        <w:autoSpaceDN w:val="0"/>
        <w:adjustRightInd w:val="0"/>
        <w:spacing w:after="0" w:line="240" w:lineRule="auto"/>
        <w:jc w:val="both"/>
        <w:rPr>
          <w:rFonts w:asciiTheme="majorBidi" w:eastAsia="Times New Roman" w:hAnsiTheme="majorBidi" w:cstheme="majorBidi"/>
          <w:sz w:val="24"/>
          <w:szCs w:val="24"/>
          <w:lang w:val="de-AT" w:eastAsia="fr-FR" w:bidi="he-IL"/>
        </w:rPr>
      </w:pPr>
    </w:p>
    <w:p w14:paraId="0716CFEC" w14:textId="3D8C384B"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bookmarkStart w:id="30" w:name="bau1"/>
      <w:r w:rsidRPr="00397B73">
        <w:rPr>
          <w:rFonts w:asciiTheme="majorBidi" w:hAnsiTheme="majorBidi" w:cstheme="majorBidi"/>
          <w:sz w:val="24"/>
          <w:szCs w:val="24"/>
          <w:lang w:val="de-AT"/>
        </w:rPr>
        <w:t xml:space="preserve">Kühne, K., </w:t>
      </w:r>
      <w:bookmarkStart w:id="31" w:name="bau2"/>
      <w:bookmarkEnd w:id="30"/>
      <w:r w:rsidRPr="00397B73">
        <w:rPr>
          <w:rFonts w:asciiTheme="majorBidi" w:hAnsiTheme="majorBidi" w:cstheme="majorBidi"/>
          <w:sz w:val="24"/>
          <w:szCs w:val="24"/>
          <w:lang w:val="de-AT"/>
        </w:rPr>
        <w:t xml:space="preserve">Bartsch, N., </w:t>
      </w:r>
      <w:bookmarkStart w:id="32" w:name="bau3"/>
      <w:bookmarkEnd w:id="31"/>
      <w:r w:rsidRPr="00397B73">
        <w:rPr>
          <w:rFonts w:asciiTheme="majorBidi" w:hAnsiTheme="majorBidi" w:cstheme="majorBidi"/>
          <w:sz w:val="24"/>
          <w:szCs w:val="24"/>
          <w:lang w:val="de-AT"/>
        </w:rPr>
        <w:t xml:space="preserve">Tate, R.D., </w:t>
      </w:r>
      <w:bookmarkStart w:id="33" w:name="bau4"/>
      <w:bookmarkEnd w:id="32"/>
      <w:r w:rsidRPr="00397B73">
        <w:rPr>
          <w:rFonts w:asciiTheme="majorBidi" w:hAnsiTheme="majorBidi" w:cstheme="majorBidi"/>
          <w:sz w:val="24"/>
          <w:szCs w:val="24"/>
          <w:lang w:val="de-AT"/>
        </w:rPr>
        <w:t>Higson, J., &amp;</w:t>
      </w:r>
      <w:bookmarkStart w:id="34" w:name="bau5"/>
      <w:bookmarkEnd w:id="33"/>
      <w:r w:rsidRPr="00397B73">
        <w:rPr>
          <w:rFonts w:asciiTheme="majorBidi" w:hAnsiTheme="majorBidi" w:cstheme="majorBidi"/>
          <w:sz w:val="24"/>
          <w:szCs w:val="24"/>
          <w:lang w:val="de-AT"/>
        </w:rPr>
        <w:t xml:space="preserve"> Habet</w:t>
      </w:r>
      <w:bookmarkEnd w:id="34"/>
      <w:r w:rsidRPr="00397B73">
        <w:rPr>
          <w:rFonts w:asciiTheme="majorBidi" w:hAnsiTheme="majorBidi" w:cstheme="majorBidi"/>
          <w:sz w:val="24"/>
          <w:szCs w:val="24"/>
          <w:lang w:val="de-AT"/>
        </w:rPr>
        <w:t xml:space="preserve">, A. (2022). </w:t>
      </w:r>
      <w:r w:rsidRPr="00D806D9">
        <w:rPr>
          <w:rFonts w:asciiTheme="majorBidi" w:hAnsiTheme="majorBidi" w:cstheme="majorBidi"/>
          <w:sz w:val="24"/>
          <w:szCs w:val="24"/>
          <w:lang w:val="en-US"/>
        </w:rPr>
        <w:t xml:space="preserve">“Carbon Bombs“ – Mapping Key Fossil Fuel Projects. </w:t>
      </w:r>
      <w:r w:rsidRPr="00D806D9">
        <w:rPr>
          <w:rFonts w:asciiTheme="majorBidi" w:hAnsiTheme="majorBidi" w:cstheme="majorBidi"/>
          <w:i/>
          <w:iCs/>
          <w:sz w:val="24"/>
          <w:szCs w:val="24"/>
          <w:lang w:val="en-US"/>
        </w:rPr>
        <w:t>Energy Policy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166</w:t>
      </w:r>
      <w:r w:rsidRPr="00D806D9">
        <w:rPr>
          <w:rFonts w:asciiTheme="majorBidi" w:hAnsiTheme="majorBidi" w:cstheme="majorBidi"/>
          <w:sz w:val="24"/>
          <w:szCs w:val="24"/>
          <w:lang w:val="en-US"/>
        </w:rPr>
        <w:t xml:space="preserve">, Article 112950. </w:t>
      </w:r>
      <w:hyperlink r:id="rId94" w:history="1">
        <w:r w:rsidRPr="00D806D9">
          <w:rPr>
            <w:rStyle w:val="Hyperlink"/>
            <w:rFonts w:asciiTheme="majorBidi" w:hAnsiTheme="majorBidi" w:cstheme="majorBidi"/>
            <w:sz w:val="24"/>
            <w:szCs w:val="24"/>
            <w:lang w:val="en-US"/>
          </w:rPr>
          <w:t>Link</w:t>
        </w:r>
      </w:hyperlink>
    </w:p>
    <w:p w14:paraId="47585BE7"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11333B26" w14:textId="33365151"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Landis, F., Fredriksson, G., &amp; Rausch, S. (2021). Between- and </w:t>
      </w:r>
      <w:r w:rsidR="00240B4D" w:rsidRPr="00D806D9">
        <w:rPr>
          <w:rFonts w:asciiTheme="majorBidi" w:hAnsiTheme="majorBidi" w:cstheme="majorBidi"/>
          <w:sz w:val="24"/>
          <w:szCs w:val="24"/>
          <w:lang w:val="en-US"/>
        </w:rPr>
        <w:t>W</w:t>
      </w:r>
      <w:r w:rsidRPr="00D806D9">
        <w:rPr>
          <w:rFonts w:asciiTheme="majorBidi" w:hAnsiTheme="majorBidi" w:cstheme="majorBidi"/>
          <w:sz w:val="24"/>
          <w:szCs w:val="24"/>
          <w:lang w:val="en-US"/>
        </w:rPr>
        <w:t>ithin-</w:t>
      </w:r>
      <w:r w:rsidR="00240B4D"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ountry </w:t>
      </w:r>
      <w:r w:rsidR="00240B4D" w:rsidRPr="00D806D9">
        <w:rPr>
          <w:rFonts w:asciiTheme="majorBidi" w:hAnsiTheme="majorBidi" w:cstheme="majorBidi"/>
          <w:sz w:val="24"/>
          <w:szCs w:val="24"/>
          <w:lang w:val="en-US"/>
        </w:rPr>
        <w:t>D</w:t>
      </w:r>
      <w:r w:rsidRPr="00D806D9">
        <w:rPr>
          <w:rFonts w:asciiTheme="majorBidi" w:hAnsiTheme="majorBidi" w:cstheme="majorBidi"/>
          <w:sz w:val="24"/>
          <w:szCs w:val="24"/>
          <w:lang w:val="en-US"/>
        </w:rPr>
        <w:t xml:space="preserve">istributional </w:t>
      </w:r>
      <w:r w:rsidR="00240B4D"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mpacts from </w:t>
      </w:r>
      <w:r w:rsidR="00240B4D" w:rsidRPr="00D806D9">
        <w:rPr>
          <w:rFonts w:asciiTheme="majorBidi" w:hAnsiTheme="majorBidi" w:cstheme="majorBidi"/>
          <w:sz w:val="24"/>
          <w:szCs w:val="24"/>
          <w:lang w:val="en-US"/>
        </w:rPr>
        <w:t>H</w:t>
      </w:r>
      <w:r w:rsidRPr="00D806D9">
        <w:rPr>
          <w:rFonts w:asciiTheme="majorBidi" w:hAnsiTheme="majorBidi" w:cstheme="majorBidi"/>
          <w:sz w:val="24"/>
          <w:szCs w:val="24"/>
          <w:lang w:val="en-US"/>
        </w:rPr>
        <w:t xml:space="preserve">armonizing </w:t>
      </w:r>
      <w:r w:rsidR="00240B4D"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arbon </w:t>
      </w:r>
      <w:r w:rsidR="00240B4D"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rices in the EU. </w:t>
      </w:r>
      <w:r w:rsidRPr="00D806D9">
        <w:rPr>
          <w:rFonts w:asciiTheme="majorBidi" w:hAnsiTheme="majorBidi" w:cstheme="majorBidi"/>
          <w:i/>
          <w:iCs/>
          <w:sz w:val="24"/>
          <w:szCs w:val="24"/>
          <w:lang w:val="en-US"/>
        </w:rPr>
        <w:t>Energy Economics</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103</w:t>
      </w:r>
      <w:r w:rsidRPr="00D806D9">
        <w:rPr>
          <w:rFonts w:asciiTheme="majorBidi" w:hAnsiTheme="majorBidi" w:cstheme="majorBidi"/>
          <w:sz w:val="24"/>
          <w:szCs w:val="24"/>
          <w:lang w:val="en-US"/>
        </w:rPr>
        <w:t>, Article 105585</w:t>
      </w:r>
      <w:r w:rsidR="00240B4D" w:rsidRPr="00D806D9">
        <w:rPr>
          <w:rFonts w:asciiTheme="majorBidi" w:hAnsiTheme="majorBidi" w:cstheme="majorBidi"/>
          <w:sz w:val="24"/>
          <w:szCs w:val="24"/>
          <w:lang w:val="en-US"/>
        </w:rPr>
        <w:t xml:space="preserve">. </w:t>
      </w:r>
      <w:hyperlink r:id="rId95" w:history="1">
        <w:r w:rsidR="00240B4D" w:rsidRPr="00D806D9">
          <w:rPr>
            <w:rStyle w:val="Hyperlink"/>
            <w:rFonts w:asciiTheme="majorBidi" w:hAnsiTheme="majorBidi" w:cstheme="majorBidi"/>
            <w:sz w:val="24"/>
            <w:szCs w:val="24"/>
            <w:lang w:val="en-US"/>
          </w:rPr>
          <w:t>Link</w:t>
        </w:r>
      </w:hyperlink>
    </w:p>
    <w:p w14:paraId="51217B32"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0372EC82" w14:textId="3B474610"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Lovcha</w:t>
      </w:r>
      <w:proofErr w:type="spellEnd"/>
      <w:r w:rsidRPr="00D806D9">
        <w:rPr>
          <w:rFonts w:asciiTheme="majorBidi" w:hAnsiTheme="majorBidi" w:cstheme="majorBidi"/>
          <w:sz w:val="24"/>
          <w:szCs w:val="24"/>
          <w:lang w:val="en-US"/>
        </w:rPr>
        <w:t xml:space="preserve">, Y., P-L, A., &amp; Sikora, I. (2022). The </w:t>
      </w:r>
      <w:r w:rsidR="00240B4D" w:rsidRPr="00D806D9">
        <w:rPr>
          <w:rFonts w:asciiTheme="majorBidi" w:hAnsiTheme="majorBidi" w:cstheme="majorBidi"/>
          <w:sz w:val="24"/>
          <w:szCs w:val="24"/>
          <w:lang w:val="en-US"/>
        </w:rPr>
        <w:t>D</w:t>
      </w:r>
      <w:r w:rsidRPr="00D806D9">
        <w:rPr>
          <w:rFonts w:asciiTheme="majorBidi" w:hAnsiTheme="majorBidi" w:cstheme="majorBidi"/>
          <w:sz w:val="24"/>
          <w:szCs w:val="24"/>
          <w:lang w:val="en-US"/>
        </w:rPr>
        <w:t xml:space="preserve">eterminants of CO2 </w:t>
      </w:r>
      <w:r w:rsidR="00240B4D"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rices in the EU </w:t>
      </w:r>
      <w:r w:rsidR="00240B4D"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mission </w:t>
      </w:r>
      <w:r w:rsidR="00240B4D"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rading </w:t>
      </w:r>
      <w:r w:rsidR="00240B4D" w:rsidRPr="00D806D9">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ystem. </w:t>
      </w:r>
      <w:r w:rsidRPr="00D806D9">
        <w:rPr>
          <w:rFonts w:asciiTheme="majorBidi" w:hAnsiTheme="majorBidi" w:cstheme="majorBidi"/>
          <w:i/>
          <w:iCs/>
          <w:sz w:val="24"/>
          <w:szCs w:val="24"/>
          <w:lang w:val="en-US"/>
        </w:rPr>
        <w:t>Applied Energy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305</w:t>
      </w:r>
      <w:r w:rsidR="00240B4D" w:rsidRPr="00D806D9">
        <w:rPr>
          <w:rFonts w:asciiTheme="majorBidi" w:hAnsiTheme="majorBidi" w:cstheme="majorBidi"/>
          <w:sz w:val="24"/>
          <w:szCs w:val="24"/>
          <w:lang w:val="en-US"/>
        </w:rPr>
        <w:t xml:space="preserve">, Article 117903. </w:t>
      </w:r>
      <w:hyperlink r:id="rId96" w:history="1">
        <w:r w:rsidR="00240B4D" w:rsidRPr="00D806D9">
          <w:rPr>
            <w:rStyle w:val="Hyperlink"/>
            <w:rFonts w:asciiTheme="majorBidi" w:hAnsiTheme="majorBidi" w:cstheme="majorBidi"/>
            <w:sz w:val="24"/>
            <w:szCs w:val="24"/>
            <w:lang w:val="en-US"/>
          </w:rPr>
          <w:t>Link</w:t>
        </w:r>
      </w:hyperlink>
    </w:p>
    <w:p w14:paraId="56236504"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6AE7D81E" w14:textId="37A6985F" w:rsidR="00E60725" w:rsidRPr="00397B73"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es-CL" w:eastAsia="fr-FR" w:bidi="he-IL"/>
        </w:rPr>
      </w:pPr>
      <w:bookmarkStart w:id="35" w:name="_Hlk110943384"/>
      <w:proofErr w:type="spellStart"/>
      <w:r w:rsidRPr="00D806D9">
        <w:rPr>
          <w:rFonts w:asciiTheme="majorBidi" w:eastAsia="Times New Roman" w:hAnsiTheme="majorBidi" w:cstheme="majorBidi"/>
          <w:sz w:val="24"/>
          <w:szCs w:val="24"/>
          <w:lang w:val="en-US" w:eastAsia="fr-FR" w:bidi="he-IL"/>
        </w:rPr>
        <w:t>Lütkehus</w:t>
      </w:r>
      <w:proofErr w:type="spellEnd"/>
      <w:r w:rsidRPr="00D806D9">
        <w:rPr>
          <w:rFonts w:asciiTheme="majorBidi" w:eastAsia="Times New Roman" w:hAnsiTheme="majorBidi" w:cstheme="majorBidi"/>
          <w:sz w:val="24"/>
          <w:szCs w:val="24"/>
          <w:lang w:val="en-US" w:eastAsia="fr-FR" w:bidi="he-IL"/>
        </w:rPr>
        <w:t>, R. (2022</w:t>
      </w:r>
      <w:bookmarkEnd w:id="35"/>
      <w:r w:rsidRPr="00D806D9">
        <w:rPr>
          <w:rFonts w:asciiTheme="majorBidi" w:eastAsia="Times New Roman" w:hAnsiTheme="majorBidi" w:cstheme="majorBidi"/>
          <w:sz w:val="24"/>
          <w:szCs w:val="24"/>
          <w:lang w:val="en-US" w:eastAsia="fr-FR" w:bidi="he-IL"/>
        </w:rPr>
        <w:t xml:space="preserve">). Hydrogen import is the </w:t>
      </w:r>
      <w:r w:rsidR="00CA474F" w:rsidRPr="00D806D9">
        <w:rPr>
          <w:rFonts w:asciiTheme="majorBidi" w:eastAsia="Times New Roman" w:hAnsiTheme="majorBidi" w:cstheme="majorBidi"/>
          <w:sz w:val="24"/>
          <w:szCs w:val="24"/>
          <w:lang w:val="en-US" w:eastAsia="fr-FR" w:bidi="he-IL"/>
        </w:rPr>
        <w:t>M</w:t>
      </w:r>
      <w:r w:rsidRPr="00D806D9">
        <w:rPr>
          <w:rFonts w:asciiTheme="majorBidi" w:eastAsia="Times New Roman" w:hAnsiTheme="majorBidi" w:cstheme="majorBidi"/>
          <w:sz w:val="24"/>
          <w:szCs w:val="24"/>
          <w:lang w:val="en-US" w:eastAsia="fr-FR" w:bidi="he-IL"/>
        </w:rPr>
        <w:t>ost</w:t>
      </w:r>
      <w:r w:rsidR="00CA474F" w:rsidRPr="00D806D9">
        <w:rPr>
          <w:rFonts w:asciiTheme="majorBidi" w:eastAsia="Times New Roman" w:hAnsiTheme="majorBidi" w:cstheme="majorBidi"/>
          <w:sz w:val="24"/>
          <w:szCs w:val="24"/>
          <w:lang w:val="en-US" w:eastAsia="fr-FR" w:bidi="he-IL"/>
        </w:rPr>
        <w:t xml:space="preserve"> C</w:t>
      </w:r>
      <w:r w:rsidRPr="00D806D9">
        <w:rPr>
          <w:rFonts w:asciiTheme="majorBidi" w:eastAsia="Times New Roman" w:hAnsiTheme="majorBidi" w:cstheme="majorBidi"/>
          <w:sz w:val="24"/>
          <w:szCs w:val="24"/>
          <w:lang w:val="en-US" w:eastAsia="fr-FR" w:bidi="he-IL"/>
        </w:rPr>
        <w:t>ost-</w:t>
      </w:r>
      <w:r w:rsidR="00CA474F" w:rsidRPr="00D806D9">
        <w:rPr>
          <w:rFonts w:asciiTheme="majorBidi" w:eastAsia="Times New Roman" w:hAnsiTheme="majorBidi" w:cstheme="majorBidi"/>
          <w:sz w:val="24"/>
          <w:szCs w:val="24"/>
          <w:lang w:val="en-US" w:eastAsia="fr-FR" w:bidi="he-IL"/>
        </w:rPr>
        <w:t>E</w:t>
      </w:r>
      <w:r w:rsidRPr="00D806D9">
        <w:rPr>
          <w:rFonts w:asciiTheme="majorBidi" w:eastAsia="Times New Roman" w:hAnsiTheme="majorBidi" w:cstheme="majorBidi"/>
          <w:sz w:val="24"/>
          <w:szCs w:val="24"/>
          <w:lang w:val="en-US" w:eastAsia="fr-FR" w:bidi="he-IL"/>
        </w:rPr>
        <w:t xml:space="preserve">ffective </w:t>
      </w:r>
      <w:r w:rsidR="00CA474F" w:rsidRPr="00D806D9">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olution for the EU, </w:t>
      </w:r>
      <w:proofErr w:type="spellStart"/>
      <w:r w:rsidRPr="00D806D9">
        <w:rPr>
          <w:rFonts w:asciiTheme="majorBidi" w:eastAsia="Times New Roman" w:hAnsiTheme="majorBidi" w:cstheme="majorBidi"/>
          <w:i/>
          <w:iCs/>
          <w:sz w:val="24"/>
          <w:szCs w:val="24"/>
          <w:lang w:val="en-US" w:eastAsia="fr-FR" w:bidi="he-IL"/>
        </w:rPr>
        <w:t>Energate</w:t>
      </w:r>
      <w:proofErr w:type="spellEnd"/>
      <w:r w:rsidRPr="00D806D9">
        <w:rPr>
          <w:rFonts w:asciiTheme="majorBidi" w:eastAsia="Times New Roman" w:hAnsiTheme="majorBidi" w:cstheme="majorBidi"/>
          <w:i/>
          <w:iCs/>
          <w:sz w:val="24"/>
          <w:szCs w:val="24"/>
          <w:lang w:val="en-US" w:eastAsia="fr-FR" w:bidi="he-IL"/>
        </w:rPr>
        <w:t xml:space="preserve"> Messenger</w:t>
      </w:r>
      <w:r w:rsidRPr="00D806D9">
        <w:rPr>
          <w:rFonts w:asciiTheme="majorBidi" w:eastAsia="Times New Roman" w:hAnsiTheme="majorBidi" w:cstheme="majorBidi"/>
          <w:sz w:val="24"/>
          <w:szCs w:val="24"/>
          <w:lang w:val="en-US" w:eastAsia="fr-FR" w:bidi="he-IL"/>
        </w:rPr>
        <w:t xml:space="preserve">. </w:t>
      </w:r>
      <w:hyperlink r:id="rId97" w:history="1">
        <w:r w:rsidRPr="00397B73">
          <w:rPr>
            <w:rStyle w:val="Hyperlink"/>
            <w:rFonts w:asciiTheme="majorBidi" w:eastAsia="Times New Roman" w:hAnsiTheme="majorBidi" w:cstheme="majorBidi"/>
            <w:sz w:val="24"/>
            <w:szCs w:val="24"/>
            <w:lang w:val="es-CL" w:eastAsia="fr-FR" w:bidi="he-IL"/>
          </w:rPr>
          <w:t>Link</w:t>
        </w:r>
      </w:hyperlink>
    </w:p>
    <w:p w14:paraId="0D149B29" w14:textId="77777777" w:rsidR="00A56E8A" w:rsidRPr="00397B73" w:rsidRDefault="00A56E8A" w:rsidP="00003440">
      <w:pPr>
        <w:autoSpaceDE w:val="0"/>
        <w:autoSpaceDN w:val="0"/>
        <w:adjustRightInd w:val="0"/>
        <w:spacing w:after="0" w:line="240" w:lineRule="auto"/>
        <w:jc w:val="both"/>
        <w:rPr>
          <w:rFonts w:asciiTheme="majorBidi" w:eastAsia="Times New Roman" w:hAnsiTheme="majorBidi" w:cstheme="majorBidi"/>
          <w:sz w:val="24"/>
          <w:szCs w:val="24"/>
          <w:lang w:val="es-CL" w:eastAsia="fr-FR" w:bidi="he-IL"/>
        </w:rPr>
      </w:pPr>
    </w:p>
    <w:p w14:paraId="5B5AED22" w14:textId="588E3246"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397B73">
        <w:rPr>
          <w:rFonts w:asciiTheme="majorBidi" w:hAnsiTheme="majorBidi" w:cstheme="majorBidi"/>
          <w:sz w:val="24"/>
          <w:szCs w:val="24"/>
          <w:lang w:val="es-CL"/>
        </w:rPr>
        <w:t>Marcantonini</w:t>
      </w:r>
      <w:proofErr w:type="spellEnd"/>
      <w:r w:rsidRPr="00397B73">
        <w:rPr>
          <w:rFonts w:asciiTheme="majorBidi" w:hAnsiTheme="majorBidi" w:cstheme="majorBidi"/>
          <w:sz w:val="24"/>
          <w:szCs w:val="24"/>
          <w:lang w:val="es-CL"/>
        </w:rPr>
        <w:t xml:space="preserve">, C., </w:t>
      </w:r>
      <w:hyperlink r:id="rId98" w:history="1">
        <w:r w:rsidRPr="00397B73">
          <w:rPr>
            <w:rFonts w:asciiTheme="majorBidi" w:hAnsiTheme="majorBidi" w:cstheme="majorBidi"/>
            <w:sz w:val="24"/>
            <w:szCs w:val="24"/>
            <w:lang w:val="es-CL"/>
          </w:rPr>
          <w:t>Teixido-Figueras, J.</w:t>
        </w:r>
      </w:hyperlink>
      <w:r w:rsidRPr="00397B73">
        <w:rPr>
          <w:rFonts w:asciiTheme="majorBidi" w:hAnsiTheme="majorBidi" w:cstheme="majorBidi"/>
          <w:sz w:val="24"/>
          <w:szCs w:val="24"/>
          <w:lang w:val="es-CL"/>
        </w:rPr>
        <w:t xml:space="preserve">, </w:t>
      </w:r>
      <w:hyperlink r:id="rId99" w:history="1">
        <w:r w:rsidRPr="00397B73">
          <w:rPr>
            <w:rFonts w:asciiTheme="majorBidi" w:hAnsiTheme="majorBidi" w:cstheme="majorBidi"/>
            <w:sz w:val="24"/>
            <w:szCs w:val="24"/>
            <w:lang w:val="es-CL"/>
          </w:rPr>
          <w:t>Verde, S.F.</w:t>
        </w:r>
      </w:hyperlink>
      <w:r w:rsidRPr="00397B73">
        <w:rPr>
          <w:rFonts w:asciiTheme="majorBidi" w:hAnsiTheme="majorBidi" w:cstheme="majorBidi"/>
          <w:sz w:val="24"/>
          <w:szCs w:val="24"/>
          <w:lang w:val="es-CL"/>
        </w:rPr>
        <w:t xml:space="preserve">, &amp; </w:t>
      </w:r>
      <w:hyperlink r:id="rId100" w:history="1">
        <w:proofErr w:type="spellStart"/>
        <w:r w:rsidRPr="00397B73">
          <w:rPr>
            <w:rFonts w:asciiTheme="majorBidi" w:hAnsiTheme="majorBidi" w:cstheme="majorBidi"/>
            <w:sz w:val="24"/>
            <w:szCs w:val="24"/>
            <w:lang w:val="es-CL"/>
          </w:rPr>
          <w:t>Labandeira</w:t>
        </w:r>
        <w:proofErr w:type="spellEnd"/>
        <w:r w:rsidRPr="00397B73">
          <w:rPr>
            <w:rFonts w:asciiTheme="majorBidi" w:hAnsiTheme="majorBidi" w:cstheme="majorBidi"/>
            <w:sz w:val="24"/>
            <w:szCs w:val="24"/>
            <w:lang w:val="es-CL"/>
          </w:rPr>
          <w:t>, X.</w:t>
        </w:r>
      </w:hyperlink>
      <w:r w:rsidRPr="00397B73">
        <w:rPr>
          <w:rFonts w:asciiTheme="majorBidi" w:hAnsiTheme="majorBidi" w:cstheme="majorBidi"/>
          <w:sz w:val="24"/>
          <w:szCs w:val="24"/>
          <w:lang w:val="es-CL"/>
        </w:rPr>
        <w:t xml:space="preserve"> </w:t>
      </w:r>
      <w:r w:rsidRPr="00D806D9">
        <w:rPr>
          <w:rFonts w:asciiTheme="majorBidi" w:hAnsiTheme="majorBidi" w:cstheme="majorBidi"/>
          <w:sz w:val="24"/>
          <w:szCs w:val="24"/>
          <w:lang w:val="en-US"/>
        </w:rPr>
        <w:t>(2017). Low-</w:t>
      </w:r>
      <w:r w:rsidR="00CA474F"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arbon </w:t>
      </w:r>
      <w:r w:rsidR="00CA474F"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nnovation and </w:t>
      </w:r>
      <w:r w:rsidR="00CA474F"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nvestment in the EU ETS.</w:t>
      </w:r>
      <w:r w:rsidR="00CA474F" w:rsidRPr="00D806D9">
        <w:rPr>
          <w:rFonts w:asciiTheme="majorBidi" w:hAnsiTheme="majorBidi" w:cstheme="majorBidi"/>
          <w:sz w:val="24"/>
          <w:szCs w:val="24"/>
          <w:lang w:val="en-US"/>
        </w:rPr>
        <w:t xml:space="preserve"> Policy Briefs, 2017/22, Florence School of Regulation.</w:t>
      </w:r>
      <w:r w:rsidRPr="00D806D9">
        <w:rPr>
          <w:rFonts w:asciiTheme="majorBidi" w:hAnsiTheme="majorBidi" w:cstheme="majorBidi"/>
          <w:sz w:val="24"/>
          <w:szCs w:val="24"/>
          <w:lang w:val="en-US"/>
        </w:rPr>
        <w:t xml:space="preserve"> </w:t>
      </w:r>
      <w:hyperlink r:id="rId101" w:history="1">
        <w:r w:rsidR="00CA474F" w:rsidRPr="00D806D9">
          <w:rPr>
            <w:rStyle w:val="Hyperlink"/>
            <w:rFonts w:asciiTheme="majorBidi" w:hAnsiTheme="majorBidi" w:cstheme="majorBidi"/>
            <w:sz w:val="24"/>
            <w:szCs w:val="24"/>
            <w:lang w:val="en-US"/>
          </w:rPr>
          <w:t>Link</w:t>
        </w:r>
      </w:hyperlink>
    </w:p>
    <w:p w14:paraId="4DF150D3"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4A482378" w14:textId="29C16198" w:rsidR="00E60725" w:rsidRPr="00D806D9" w:rsidRDefault="00E60725" w:rsidP="00003440">
      <w:pPr>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Martin, R., </w:t>
      </w:r>
      <w:proofErr w:type="spellStart"/>
      <w:r w:rsidRPr="00D806D9">
        <w:rPr>
          <w:rFonts w:asciiTheme="majorBidi" w:hAnsiTheme="majorBidi" w:cstheme="majorBidi"/>
          <w:sz w:val="24"/>
          <w:szCs w:val="24"/>
          <w:lang w:val="en-US"/>
        </w:rPr>
        <w:t>Muûls</w:t>
      </w:r>
      <w:proofErr w:type="spellEnd"/>
      <w:r w:rsidRPr="00D806D9">
        <w:rPr>
          <w:rFonts w:asciiTheme="majorBidi" w:hAnsiTheme="majorBidi" w:cstheme="majorBidi"/>
          <w:sz w:val="24"/>
          <w:szCs w:val="24"/>
          <w:lang w:val="en-US"/>
        </w:rPr>
        <w:t xml:space="preserve">, M., &amp; Wagner, U. J. (2016). The </w:t>
      </w:r>
      <w:r w:rsidR="00CC5AC9"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mpact of the European Union Emissions Trading Scheme on</w:t>
      </w:r>
      <w:r w:rsidR="00CC5AC9" w:rsidRPr="00D806D9">
        <w:rPr>
          <w:rFonts w:asciiTheme="majorBidi" w:hAnsiTheme="majorBidi" w:cstheme="majorBidi"/>
          <w:sz w:val="24"/>
          <w:szCs w:val="24"/>
          <w:lang w:val="en-US"/>
        </w:rPr>
        <w:t xml:space="preserve"> R</w:t>
      </w:r>
      <w:r w:rsidRPr="00D806D9">
        <w:rPr>
          <w:rFonts w:asciiTheme="majorBidi" w:hAnsiTheme="majorBidi" w:cstheme="majorBidi"/>
          <w:sz w:val="24"/>
          <w:szCs w:val="24"/>
          <w:lang w:val="en-US"/>
        </w:rPr>
        <w:t xml:space="preserve">egulated </w:t>
      </w:r>
      <w:r w:rsidR="00CC5AC9" w:rsidRPr="00D806D9">
        <w:rPr>
          <w:rFonts w:asciiTheme="majorBidi" w:hAnsiTheme="majorBidi" w:cstheme="majorBidi"/>
          <w:sz w:val="24"/>
          <w:szCs w:val="24"/>
          <w:lang w:val="en-US"/>
        </w:rPr>
        <w:t>F</w:t>
      </w:r>
      <w:r w:rsidRPr="00D806D9">
        <w:rPr>
          <w:rFonts w:asciiTheme="majorBidi" w:hAnsiTheme="majorBidi" w:cstheme="majorBidi"/>
          <w:sz w:val="24"/>
          <w:szCs w:val="24"/>
          <w:lang w:val="en-US"/>
        </w:rPr>
        <w:t xml:space="preserve">irms: </w:t>
      </w:r>
      <w:r w:rsidR="00CC5AC9" w:rsidRPr="00D806D9">
        <w:rPr>
          <w:rFonts w:asciiTheme="majorBidi" w:hAnsiTheme="majorBidi" w:cstheme="majorBidi"/>
          <w:sz w:val="24"/>
          <w:szCs w:val="24"/>
          <w:lang w:val="en-US"/>
        </w:rPr>
        <w:t>W</w:t>
      </w:r>
      <w:r w:rsidRPr="00D806D9">
        <w:rPr>
          <w:rFonts w:asciiTheme="majorBidi" w:hAnsiTheme="majorBidi" w:cstheme="majorBidi"/>
          <w:sz w:val="24"/>
          <w:szCs w:val="24"/>
          <w:lang w:val="en-US"/>
        </w:rPr>
        <w:t xml:space="preserve">hat is the </w:t>
      </w:r>
      <w:r w:rsidR="00CC5AC9"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vidence </w:t>
      </w:r>
      <w:r w:rsidR="00CC5AC9" w:rsidRPr="00D806D9">
        <w:rPr>
          <w:rFonts w:asciiTheme="majorBidi" w:hAnsiTheme="majorBidi" w:cstheme="majorBidi"/>
          <w:sz w:val="24"/>
          <w:szCs w:val="24"/>
          <w:lang w:val="en-US"/>
        </w:rPr>
        <w:t>A</w:t>
      </w:r>
      <w:r w:rsidRPr="00D806D9">
        <w:rPr>
          <w:rFonts w:asciiTheme="majorBidi" w:hAnsiTheme="majorBidi" w:cstheme="majorBidi"/>
          <w:sz w:val="24"/>
          <w:szCs w:val="24"/>
          <w:lang w:val="en-US"/>
        </w:rPr>
        <w:t xml:space="preserve">fter </w:t>
      </w:r>
      <w:r w:rsidR="00CC5AC9"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en </w:t>
      </w:r>
      <w:r w:rsidR="00CC5AC9" w:rsidRPr="00D806D9">
        <w:rPr>
          <w:rFonts w:asciiTheme="majorBidi" w:hAnsiTheme="majorBidi" w:cstheme="majorBidi"/>
          <w:sz w:val="24"/>
          <w:szCs w:val="24"/>
          <w:lang w:val="en-US"/>
        </w:rPr>
        <w:t>Y</w:t>
      </w:r>
      <w:r w:rsidRPr="00D806D9">
        <w:rPr>
          <w:rFonts w:asciiTheme="majorBidi" w:hAnsiTheme="majorBidi" w:cstheme="majorBidi"/>
          <w:sz w:val="24"/>
          <w:szCs w:val="24"/>
          <w:lang w:val="en-US"/>
        </w:rPr>
        <w:t xml:space="preserve">ears?. </w:t>
      </w:r>
      <w:r w:rsidRPr="00D806D9">
        <w:rPr>
          <w:rFonts w:asciiTheme="majorBidi" w:hAnsiTheme="majorBidi" w:cstheme="majorBidi"/>
          <w:i/>
          <w:iCs/>
          <w:sz w:val="24"/>
          <w:szCs w:val="24"/>
          <w:lang w:val="en-US"/>
        </w:rPr>
        <w:t>Review of environmental economics and policy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10</w:t>
      </w:r>
      <w:r w:rsidRPr="00D806D9">
        <w:rPr>
          <w:rFonts w:asciiTheme="majorBidi" w:hAnsiTheme="majorBidi" w:cstheme="majorBidi"/>
          <w:sz w:val="24"/>
          <w:szCs w:val="24"/>
          <w:lang w:val="en-US"/>
        </w:rPr>
        <w:t xml:space="preserve">(1), 129-148. </w:t>
      </w:r>
      <w:hyperlink r:id="rId102" w:history="1">
        <w:r w:rsidRPr="00D806D9">
          <w:rPr>
            <w:rStyle w:val="Hyperlink"/>
            <w:rFonts w:asciiTheme="majorBidi" w:hAnsiTheme="majorBidi" w:cstheme="majorBidi"/>
            <w:sz w:val="24"/>
            <w:szCs w:val="24"/>
            <w:lang w:val="en-US"/>
          </w:rPr>
          <w:t xml:space="preserve">Link </w:t>
        </w:r>
      </w:hyperlink>
      <w:r w:rsidRPr="00D806D9">
        <w:rPr>
          <w:rFonts w:asciiTheme="majorBidi" w:hAnsiTheme="majorBidi" w:cstheme="majorBidi"/>
          <w:sz w:val="24"/>
          <w:szCs w:val="24"/>
          <w:lang w:val="en-US"/>
        </w:rPr>
        <w:t xml:space="preserve"> </w:t>
      </w:r>
    </w:p>
    <w:p w14:paraId="1F45D3F2" w14:textId="77777777" w:rsidR="00A56E8A" w:rsidRPr="00D806D9" w:rsidRDefault="00A56E8A" w:rsidP="00003440">
      <w:pPr>
        <w:spacing w:after="0" w:line="240" w:lineRule="auto"/>
        <w:jc w:val="both"/>
        <w:rPr>
          <w:rFonts w:asciiTheme="majorBidi" w:hAnsiTheme="majorBidi" w:cstheme="majorBidi"/>
          <w:sz w:val="24"/>
          <w:szCs w:val="24"/>
          <w:lang w:val="en-US"/>
        </w:rPr>
      </w:pPr>
    </w:p>
    <w:p w14:paraId="4C857E92" w14:textId="12753AF8"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color w:val="000000"/>
          <w:sz w:val="24"/>
          <w:szCs w:val="24"/>
          <w:lang w:val="en-US" w:eastAsia="fr-FR" w:bidi="he-IL"/>
        </w:rPr>
      </w:pPr>
      <w:proofErr w:type="spellStart"/>
      <w:r w:rsidRPr="00D806D9">
        <w:rPr>
          <w:rFonts w:asciiTheme="majorBidi" w:hAnsiTheme="majorBidi" w:cstheme="majorBidi"/>
          <w:sz w:val="24"/>
          <w:szCs w:val="24"/>
          <w:lang w:val="en-US"/>
        </w:rPr>
        <w:t>Maskin</w:t>
      </w:r>
      <w:proofErr w:type="spellEnd"/>
      <w:r w:rsidRPr="00D806D9">
        <w:rPr>
          <w:rFonts w:asciiTheme="majorBidi" w:hAnsiTheme="majorBidi" w:cstheme="majorBidi"/>
          <w:sz w:val="24"/>
          <w:szCs w:val="24"/>
          <w:lang w:val="en-US"/>
        </w:rPr>
        <w:t xml:space="preserve">, E., &amp; </w:t>
      </w:r>
      <w:proofErr w:type="spellStart"/>
      <w:r w:rsidRPr="00D806D9">
        <w:rPr>
          <w:rFonts w:asciiTheme="majorBidi" w:hAnsiTheme="majorBidi" w:cstheme="majorBidi"/>
          <w:sz w:val="24"/>
          <w:szCs w:val="24"/>
          <w:lang w:val="en-US"/>
        </w:rPr>
        <w:t>Tirole</w:t>
      </w:r>
      <w:proofErr w:type="spellEnd"/>
      <w:r w:rsidRPr="00D806D9">
        <w:rPr>
          <w:rFonts w:asciiTheme="majorBidi" w:hAnsiTheme="majorBidi" w:cstheme="majorBidi"/>
          <w:sz w:val="24"/>
          <w:szCs w:val="24"/>
          <w:lang w:val="en-US"/>
        </w:rPr>
        <w:t xml:space="preserve">, J. (2004). The Politician and the Judge: Accountability in Government. </w:t>
      </w:r>
      <w:r w:rsidRPr="00D806D9">
        <w:rPr>
          <w:rFonts w:asciiTheme="majorBidi" w:hAnsiTheme="majorBidi" w:cstheme="majorBidi"/>
          <w:i/>
          <w:iCs/>
          <w:sz w:val="24"/>
          <w:szCs w:val="24"/>
          <w:lang w:val="en-US"/>
        </w:rPr>
        <w:t>American Economic Review</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94</w:t>
      </w:r>
      <w:r w:rsidRPr="00D806D9">
        <w:rPr>
          <w:rFonts w:asciiTheme="majorBidi" w:hAnsiTheme="majorBidi" w:cstheme="majorBidi"/>
          <w:sz w:val="24"/>
          <w:szCs w:val="24"/>
          <w:lang w:val="en-US"/>
        </w:rPr>
        <w:t xml:space="preserve">(4), 1034-1054. </w:t>
      </w:r>
      <w:hyperlink r:id="rId103" w:history="1">
        <w:r w:rsidRPr="00D806D9">
          <w:rPr>
            <w:rStyle w:val="Hyperlink"/>
            <w:rFonts w:asciiTheme="majorBidi" w:hAnsiTheme="majorBidi" w:cstheme="majorBidi"/>
            <w:sz w:val="24"/>
            <w:szCs w:val="24"/>
            <w:lang w:val="en-US"/>
          </w:rPr>
          <w:t>Link</w:t>
        </w:r>
      </w:hyperlink>
    </w:p>
    <w:p w14:paraId="3664023A"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385587EC" w14:textId="6F5859CA"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McWilliam, B., &amp; </w:t>
      </w:r>
      <w:proofErr w:type="spellStart"/>
      <w:r w:rsidRPr="00D806D9">
        <w:rPr>
          <w:rFonts w:asciiTheme="majorBidi" w:eastAsia="Times New Roman" w:hAnsiTheme="majorBidi" w:cstheme="majorBidi"/>
          <w:sz w:val="24"/>
          <w:szCs w:val="24"/>
          <w:lang w:val="en-US" w:eastAsia="fr-FR" w:bidi="he-IL"/>
        </w:rPr>
        <w:t>Zachmann</w:t>
      </w:r>
      <w:proofErr w:type="spellEnd"/>
      <w:r w:rsidRPr="00D806D9">
        <w:rPr>
          <w:rFonts w:asciiTheme="majorBidi" w:eastAsia="Times New Roman" w:hAnsiTheme="majorBidi" w:cstheme="majorBidi"/>
          <w:sz w:val="24"/>
          <w:szCs w:val="24"/>
          <w:lang w:val="en-US" w:eastAsia="fr-FR" w:bidi="he-IL"/>
        </w:rPr>
        <w:t xml:space="preserve">, G. (2021). </w:t>
      </w:r>
      <w:proofErr w:type="spellStart"/>
      <w:r w:rsidRPr="00D806D9">
        <w:rPr>
          <w:rFonts w:asciiTheme="majorBidi" w:eastAsia="Times New Roman" w:hAnsiTheme="majorBidi" w:cstheme="majorBidi"/>
          <w:sz w:val="24"/>
          <w:szCs w:val="24"/>
          <w:lang w:val="en-US" w:eastAsia="fr-FR" w:bidi="he-IL"/>
        </w:rPr>
        <w:t>Commercialisation</w:t>
      </w:r>
      <w:proofErr w:type="spellEnd"/>
      <w:r w:rsidRPr="00D806D9">
        <w:rPr>
          <w:rFonts w:asciiTheme="majorBidi" w:eastAsia="Times New Roman" w:hAnsiTheme="majorBidi" w:cstheme="majorBidi"/>
          <w:sz w:val="24"/>
          <w:szCs w:val="24"/>
          <w:lang w:val="en-US" w:eastAsia="fr-FR" w:bidi="he-IL"/>
        </w:rPr>
        <w:t xml:space="preserve"> </w:t>
      </w:r>
      <w:r w:rsidR="00650AA5"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ontracts: European </w:t>
      </w:r>
      <w:r w:rsidR="00CC5AC9" w:rsidRPr="00D806D9">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upport for </w:t>
      </w:r>
      <w:r w:rsidR="00650AA5" w:rsidRPr="00D806D9">
        <w:rPr>
          <w:rFonts w:asciiTheme="majorBidi" w:eastAsia="Times New Roman" w:hAnsiTheme="majorBidi" w:cstheme="majorBidi"/>
          <w:sz w:val="24"/>
          <w:szCs w:val="24"/>
          <w:lang w:val="en-US" w:eastAsia="fr-FR" w:bidi="he-IL"/>
        </w:rPr>
        <w:t>L</w:t>
      </w:r>
      <w:r w:rsidRPr="00D806D9">
        <w:rPr>
          <w:rFonts w:asciiTheme="majorBidi" w:eastAsia="Times New Roman" w:hAnsiTheme="majorBidi" w:cstheme="majorBidi"/>
          <w:sz w:val="24"/>
          <w:szCs w:val="24"/>
          <w:lang w:val="en-US" w:eastAsia="fr-FR" w:bidi="he-IL"/>
        </w:rPr>
        <w:t>ow-</w:t>
      </w:r>
      <w:r w:rsidR="00650AA5"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arbon </w:t>
      </w:r>
      <w:r w:rsidR="00650AA5" w:rsidRPr="00D806D9">
        <w:rPr>
          <w:rFonts w:asciiTheme="majorBidi" w:eastAsia="Times New Roman" w:hAnsiTheme="majorBidi" w:cstheme="majorBidi"/>
          <w:sz w:val="24"/>
          <w:szCs w:val="24"/>
          <w:lang w:val="en-US" w:eastAsia="fr-FR" w:bidi="he-IL"/>
        </w:rPr>
        <w:t>T</w:t>
      </w:r>
      <w:r w:rsidRPr="00D806D9">
        <w:rPr>
          <w:rFonts w:asciiTheme="majorBidi" w:eastAsia="Times New Roman" w:hAnsiTheme="majorBidi" w:cstheme="majorBidi"/>
          <w:sz w:val="24"/>
          <w:szCs w:val="24"/>
          <w:lang w:val="en-US" w:eastAsia="fr-FR" w:bidi="he-IL"/>
        </w:rPr>
        <w:t xml:space="preserve">echnology </w:t>
      </w:r>
      <w:r w:rsidR="00650AA5" w:rsidRPr="00D806D9">
        <w:rPr>
          <w:rFonts w:asciiTheme="majorBidi" w:eastAsia="Times New Roman" w:hAnsiTheme="majorBidi" w:cstheme="majorBidi"/>
          <w:sz w:val="24"/>
          <w:szCs w:val="24"/>
          <w:lang w:val="en-US" w:eastAsia="fr-FR" w:bidi="he-IL"/>
        </w:rPr>
        <w:t>D</w:t>
      </w:r>
      <w:r w:rsidRPr="00D806D9">
        <w:rPr>
          <w:rFonts w:asciiTheme="majorBidi" w:eastAsia="Times New Roman" w:hAnsiTheme="majorBidi" w:cstheme="majorBidi"/>
          <w:sz w:val="24"/>
          <w:szCs w:val="24"/>
          <w:lang w:val="en-US" w:eastAsia="fr-FR" w:bidi="he-IL"/>
        </w:rPr>
        <w:t xml:space="preserve">eployment. Policy Contribution, </w:t>
      </w:r>
      <w:r w:rsidRPr="00D806D9">
        <w:rPr>
          <w:rFonts w:asciiTheme="majorBidi" w:eastAsia="Times New Roman" w:hAnsiTheme="majorBidi" w:cstheme="majorBidi"/>
          <w:i/>
          <w:iCs/>
          <w:sz w:val="24"/>
          <w:szCs w:val="24"/>
          <w:lang w:val="en-US" w:eastAsia="fr-FR" w:bidi="he-IL"/>
        </w:rPr>
        <w:t>15</w:t>
      </w:r>
      <w:r w:rsidRPr="00D806D9">
        <w:rPr>
          <w:rFonts w:asciiTheme="majorBidi" w:eastAsia="Times New Roman" w:hAnsiTheme="majorBidi" w:cstheme="majorBidi"/>
          <w:sz w:val="24"/>
          <w:szCs w:val="24"/>
          <w:lang w:val="en-US" w:eastAsia="fr-FR" w:bidi="he-IL"/>
        </w:rPr>
        <w:t>, Bruegel</w:t>
      </w:r>
      <w:r w:rsidR="00215707" w:rsidRPr="00D806D9">
        <w:rPr>
          <w:rFonts w:asciiTheme="majorBidi" w:eastAsia="Times New Roman" w:hAnsiTheme="majorBidi" w:cstheme="majorBidi"/>
          <w:sz w:val="24"/>
          <w:szCs w:val="24"/>
          <w:lang w:val="en-US" w:eastAsia="fr-FR" w:bidi="he-IL"/>
        </w:rPr>
        <w:t xml:space="preserve">. </w:t>
      </w:r>
      <w:hyperlink r:id="rId104" w:history="1">
        <w:r w:rsidR="00215707" w:rsidRPr="00D806D9">
          <w:rPr>
            <w:rStyle w:val="Hyperlink"/>
            <w:rFonts w:asciiTheme="majorBidi" w:eastAsia="Times New Roman" w:hAnsiTheme="majorBidi" w:cstheme="majorBidi"/>
            <w:sz w:val="24"/>
            <w:szCs w:val="24"/>
            <w:lang w:val="en-US" w:eastAsia="fr-FR" w:bidi="he-IL"/>
          </w:rPr>
          <w:t>Link</w:t>
        </w:r>
      </w:hyperlink>
    </w:p>
    <w:p w14:paraId="2C956F49" w14:textId="77777777" w:rsidR="00A56E8A" w:rsidRPr="00D806D9" w:rsidRDefault="00A56E8A"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444C3D41" w14:textId="7BDAFBF0" w:rsidR="00E60725" w:rsidRPr="00D806D9" w:rsidRDefault="00E60725" w:rsidP="00003440">
      <w:pPr>
        <w:spacing w:after="0" w:line="240" w:lineRule="auto"/>
        <w:jc w:val="both"/>
        <w:rPr>
          <w:rFonts w:asciiTheme="majorBidi" w:hAnsiTheme="majorBidi" w:cstheme="majorBidi"/>
          <w:sz w:val="24"/>
          <w:szCs w:val="24"/>
          <w:shd w:val="clear" w:color="auto" w:fill="FFFFFF"/>
          <w:lang w:val="en-US"/>
        </w:rPr>
      </w:pPr>
      <w:bookmarkStart w:id="36" w:name="_Hlk110961404"/>
      <w:proofErr w:type="spellStart"/>
      <w:r w:rsidRPr="00D806D9">
        <w:rPr>
          <w:rFonts w:asciiTheme="majorBidi" w:hAnsiTheme="majorBidi" w:cstheme="majorBidi"/>
          <w:sz w:val="24"/>
          <w:szCs w:val="24"/>
          <w:lang w:val="en-US"/>
        </w:rPr>
        <w:t>Mildenberger</w:t>
      </w:r>
      <w:bookmarkEnd w:id="36"/>
      <w:proofErr w:type="spellEnd"/>
      <w:r w:rsidRPr="00D806D9">
        <w:rPr>
          <w:rFonts w:asciiTheme="majorBidi" w:hAnsiTheme="majorBidi" w:cstheme="majorBidi"/>
          <w:sz w:val="24"/>
          <w:szCs w:val="24"/>
          <w:lang w:val="en-US"/>
        </w:rPr>
        <w:t xml:space="preserve">, M. (2020). </w:t>
      </w:r>
      <w:r w:rsidRPr="00D806D9">
        <w:rPr>
          <w:rFonts w:asciiTheme="majorBidi" w:hAnsiTheme="majorBidi" w:cstheme="majorBidi"/>
          <w:i/>
          <w:iCs/>
          <w:sz w:val="24"/>
          <w:szCs w:val="24"/>
          <w:lang w:val="en-US"/>
        </w:rPr>
        <w:t>Carbon captured : how business and labor control climate politics</w:t>
      </w:r>
      <w:r w:rsidRPr="00D806D9">
        <w:rPr>
          <w:rFonts w:asciiTheme="majorBidi" w:hAnsiTheme="majorBidi" w:cstheme="majorBidi"/>
          <w:sz w:val="24"/>
          <w:szCs w:val="24"/>
          <w:lang w:val="en-US"/>
        </w:rPr>
        <w:t xml:space="preserve">. </w:t>
      </w:r>
      <w:r w:rsidRPr="00D806D9">
        <w:rPr>
          <w:rFonts w:asciiTheme="majorBidi" w:hAnsiTheme="majorBidi" w:cstheme="majorBidi"/>
          <w:sz w:val="24"/>
          <w:szCs w:val="24"/>
          <w:shd w:val="clear" w:color="auto" w:fill="FFFFFF"/>
          <w:lang w:val="en-US"/>
        </w:rPr>
        <w:t>The MIT Press.</w:t>
      </w:r>
    </w:p>
    <w:p w14:paraId="1B001DC7" w14:textId="77777777" w:rsidR="00A56E8A" w:rsidRPr="00D806D9" w:rsidRDefault="00A56E8A" w:rsidP="00003440">
      <w:pPr>
        <w:spacing w:after="0" w:line="240" w:lineRule="auto"/>
        <w:jc w:val="both"/>
        <w:rPr>
          <w:rFonts w:asciiTheme="majorBidi" w:hAnsiTheme="majorBidi" w:cstheme="majorBidi"/>
          <w:sz w:val="24"/>
          <w:szCs w:val="24"/>
          <w:shd w:val="clear" w:color="auto" w:fill="FFFFFF"/>
          <w:lang w:val="en-US"/>
        </w:rPr>
      </w:pPr>
    </w:p>
    <w:p w14:paraId="3800FB0E" w14:textId="0FF0F454" w:rsidR="00E60725" w:rsidRPr="00D806D9" w:rsidRDefault="00E60725"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Nash, J. R. (2000). Too </w:t>
      </w:r>
      <w:r w:rsidR="00ED3A77" w:rsidRPr="00D806D9">
        <w:rPr>
          <w:rFonts w:asciiTheme="majorBidi" w:hAnsiTheme="majorBidi" w:cstheme="majorBidi"/>
          <w:sz w:val="24"/>
          <w:szCs w:val="24"/>
          <w:lang w:val="en-US"/>
        </w:rPr>
        <w:t>M</w:t>
      </w:r>
      <w:r w:rsidRPr="00D806D9">
        <w:rPr>
          <w:rFonts w:asciiTheme="majorBidi" w:hAnsiTheme="majorBidi" w:cstheme="majorBidi"/>
          <w:sz w:val="24"/>
          <w:szCs w:val="24"/>
          <w:lang w:val="en-US"/>
        </w:rPr>
        <w:t xml:space="preserve">uch </w:t>
      </w:r>
      <w:r w:rsidR="00ED3A77" w:rsidRPr="00D806D9">
        <w:rPr>
          <w:rFonts w:asciiTheme="majorBidi" w:hAnsiTheme="majorBidi" w:cstheme="majorBidi"/>
          <w:sz w:val="24"/>
          <w:szCs w:val="24"/>
          <w:lang w:val="en-US"/>
        </w:rPr>
        <w:t>M</w:t>
      </w:r>
      <w:r w:rsidRPr="00D806D9">
        <w:rPr>
          <w:rFonts w:asciiTheme="majorBidi" w:hAnsiTheme="majorBidi" w:cstheme="majorBidi"/>
          <w:sz w:val="24"/>
          <w:szCs w:val="24"/>
          <w:lang w:val="en-US"/>
        </w:rPr>
        <w:t xml:space="preserve">arket: </w:t>
      </w:r>
      <w:r w:rsidR="00ED3A77"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onflict between </w:t>
      </w:r>
      <w:r w:rsidR="00ED3A77"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radable </w:t>
      </w:r>
      <w:r w:rsidR="00ED3A77"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ollution </w:t>
      </w:r>
      <w:r w:rsidR="00ED3A77" w:rsidRPr="00D806D9">
        <w:rPr>
          <w:rFonts w:asciiTheme="majorBidi" w:hAnsiTheme="majorBidi" w:cstheme="majorBidi"/>
          <w:sz w:val="24"/>
          <w:szCs w:val="24"/>
          <w:lang w:val="en-US"/>
        </w:rPr>
        <w:t>A</w:t>
      </w:r>
      <w:r w:rsidRPr="00D806D9">
        <w:rPr>
          <w:rFonts w:asciiTheme="majorBidi" w:hAnsiTheme="majorBidi" w:cstheme="majorBidi"/>
          <w:sz w:val="24"/>
          <w:szCs w:val="24"/>
          <w:lang w:val="en-US"/>
        </w:rPr>
        <w:t>llowances and the</w:t>
      </w:r>
      <w:r w:rsidR="00ED3A77" w:rsidRPr="00D806D9">
        <w:rPr>
          <w:rFonts w:asciiTheme="majorBidi" w:hAnsiTheme="majorBidi" w:cstheme="majorBidi"/>
          <w:sz w:val="24"/>
          <w:szCs w:val="24"/>
          <w:lang w:val="en-US"/>
        </w:rPr>
        <w:t xml:space="preserve"> P</w:t>
      </w:r>
      <w:r w:rsidRPr="00D806D9">
        <w:rPr>
          <w:rFonts w:asciiTheme="majorBidi" w:hAnsiTheme="majorBidi" w:cstheme="majorBidi"/>
          <w:sz w:val="24"/>
          <w:szCs w:val="24"/>
          <w:lang w:val="en-US"/>
        </w:rPr>
        <w:t xml:space="preserve">olluter </w:t>
      </w:r>
      <w:r w:rsidR="00ED3A77"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ays </w:t>
      </w:r>
      <w:r w:rsidR="00ED3A77"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rinciple. </w:t>
      </w:r>
      <w:r w:rsidRPr="00D806D9">
        <w:rPr>
          <w:rFonts w:asciiTheme="majorBidi" w:hAnsiTheme="majorBidi" w:cstheme="majorBidi"/>
          <w:i/>
          <w:iCs/>
          <w:sz w:val="24"/>
          <w:szCs w:val="24"/>
          <w:lang w:val="en-US"/>
        </w:rPr>
        <w:t>The Harvard Environmental Law Review</w:t>
      </w:r>
      <w:r w:rsidRPr="00D806D9">
        <w:rPr>
          <w:rFonts w:asciiTheme="majorBidi" w:hAnsiTheme="majorBidi" w:cstheme="majorBidi"/>
          <w:sz w:val="24"/>
          <w:szCs w:val="24"/>
          <w:lang w:val="en-US"/>
        </w:rPr>
        <w:t>, 24(2), 465-535.</w:t>
      </w:r>
      <w:r w:rsidR="00F34C8B" w:rsidRPr="00D806D9">
        <w:rPr>
          <w:rFonts w:asciiTheme="majorBidi" w:hAnsiTheme="majorBidi" w:cstheme="majorBidi"/>
          <w:sz w:val="24"/>
          <w:szCs w:val="24"/>
          <w:lang w:val="en-US"/>
        </w:rPr>
        <w:t xml:space="preserve"> </w:t>
      </w:r>
      <w:hyperlink r:id="rId105" w:history="1">
        <w:r w:rsidR="00F34C8B" w:rsidRPr="00D806D9">
          <w:rPr>
            <w:rStyle w:val="Hyperlink"/>
            <w:rFonts w:asciiTheme="majorBidi" w:hAnsiTheme="majorBidi" w:cstheme="majorBidi"/>
            <w:sz w:val="24"/>
            <w:szCs w:val="24"/>
            <w:lang w:val="en-US"/>
          </w:rPr>
          <w:t>Link</w:t>
        </w:r>
      </w:hyperlink>
    </w:p>
    <w:p w14:paraId="4C4256A7" w14:textId="77777777" w:rsidR="00A56E8A" w:rsidRPr="00D806D9" w:rsidRDefault="00A56E8A" w:rsidP="00003440">
      <w:pPr>
        <w:pStyle w:val="FootnoteText"/>
        <w:jc w:val="both"/>
        <w:rPr>
          <w:rFonts w:asciiTheme="majorBidi" w:hAnsiTheme="majorBidi" w:cstheme="majorBidi"/>
          <w:sz w:val="24"/>
          <w:szCs w:val="24"/>
          <w:lang w:val="en-US"/>
        </w:rPr>
      </w:pPr>
    </w:p>
    <w:p w14:paraId="18AC2214" w14:textId="28033031" w:rsidR="00E60725" w:rsidRPr="00D806D9" w:rsidRDefault="00E60725"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lastRenderedPageBreak/>
        <w:t xml:space="preserve">Noussan, M., Raimondi, P.P., </w:t>
      </w:r>
      <w:proofErr w:type="spellStart"/>
      <w:r w:rsidRPr="00D806D9">
        <w:rPr>
          <w:rFonts w:asciiTheme="majorBidi" w:hAnsiTheme="majorBidi" w:cstheme="majorBidi"/>
          <w:sz w:val="24"/>
          <w:szCs w:val="24"/>
          <w:lang w:val="en-US"/>
        </w:rPr>
        <w:t>Scita</w:t>
      </w:r>
      <w:proofErr w:type="spellEnd"/>
      <w:r w:rsidRPr="00D806D9">
        <w:rPr>
          <w:rFonts w:asciiTheme="majorBidi" w:hAnsiTheme="majorBidi" w:cstheme="majorBidi"/>
          <w:sz w:val="24"/>
          <w:szCs w:val="24"/>
          <w:lang w:val="en-US"/>
        </w:rPr>
        <w:t xml:space="preserve">, R., &amp; Hafner, M. (2021). The Role of Green and Blue Hydrogen in the Energy Transition - A Technological and Geopolitical Perspective. </w:t>
      </w:r>
      <w:r w:rsidRPr="00D806D9">
        <w:rPr>
          <w:rFonts w:asciiTheme="majorBidi" w:hAnsiTheme="majorBidi" w:cstheme="majorBidi"/>
          <w:i/>
          <w:iCs/>
          <w:sz w:val="24"/>
          <w:szCs w:val="24"/>
          <w:lang w:val="en-US"/>
        </w:rPr>
        <w:t>Sustainability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13</w:t>
      </w:r>
      <w:r w:rsidRPr="00D806D9">
        <w:rPr>
          <w:rFonts w:asciiTheme="majorBidi" w:hAnsiTheme="majorBidi" w:cstheme="majorBidi"/>
          <w:sz w:val="24"/>
          <w:szCs w:val="24"/>
          <w:lang w:val="en-US"/>
        </w:rPr>
        <w:t xml:space="preserve">(1), Article 298. </w:t>
      </w:r>
      <w:hyperlink r:id="rId106"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w:t>
      </w:r>
    </w:p>
    <w:p w14:paraId="1D5C9461" w14:textId="77777777" w:rsidR="00A56E8A" w:rsidRPr="00D806D9" w:rsidRDefault="00A56E8A" w:rsidP="00003440">
      <w:pPr>
        <w:pStyle w:val="FootnoteText"/>
        <w:jc w:val="both"/>
        <w:rPr>
          <w:rFonts w:asciiTheme="majorBidi" w:hAnsiTheme="majorBidi" w:cstheme="majorBidi"/>
          <w:sz w:val="24"/>
          <w:szCs w:val="24"/>
          <w:lang w:val="en-US"/>
        </w:rPr>
      </w:pPr>
    </w:p>
    <w:p w14:paraId="1EA41283" w14:textId="2DAC58E5"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roofErr w:type="spellStart"/>
      <w:r w:rsidRPr="00D806D9">
        <w:rPr>
          <w:rFonts w:asciiTheme="majorBidi" w:eastAsia="Times New Roman" w:hAnsiTheme="majorBidi" w:cstheme="majorBidi"/>
          <w:sz w:val="24"/>
          <w:szCs w:val="24"/>
          <w:lang w:val="en-US" w:eastAsia="fr-FR" w:bidi="he-IL"/>
        </w:rPr>
        <w:t>Nuñez</w:t>
      </w:r>
      <w:proofErr w:type="spellEnd"/>
      <w:r w:rsidRPr="00D806D9">
        <w:rPr>
          <w:rFonts w:asciiTheme="majorBidi" w:eastAsia="Times New Roman" w:hAnsiTheme="majorBidi" w:cstheme="majorBidi"/>
          <w:sz w:val="24"/>
          <w:szCs w:val="24"/>
          <w:lang w:val="en-US" w:eastAsia="fr-FR" w:bidi="he-IL"/>
        </w:rPr>
        <w:t xml:space="preserve">-Jimenez, A., &amp; De Blasio, N. (2022). The Future of Renewable Hydrogen in the European Union Market and Geopolitical Implications. Environment and Natural Resources Program, </w:t>
      </w:r>
      <w:proofErr w:type="spellStart"/>
      <w:r w:rsidRPr="00D806D9">
        <w:rPr>
          <w:rFonts w:asciiTheme="majorBidi" w:eastAsia="Times New Roman" w:hAnsiTheme="majorBidi" w:cstheme="majorBidi"/>
          <w:sz w:val="24"/>
          <w:szCs w:val="24"/>
          <w:lang w:val="en-US" w:eastAsia="fr-FR" w:bidi="he-IL"/>
        </w:rPr>
        <w:t>Belfer</w:t>
      </w:r>
      <w:proofErr w:type="spellEnd"/>
      <w:r w:rsidRPr="00D806D9">
        <w:rPr>
          <w:rFonts w:asciiTheme="majorBidi" w:eastAsia="Times New Roman" w:hAnsiTheme="majorBidi" w:cstheme="majorBidi"/>
          <w:sz w:val="24"/>
          <w:szCs w:val="24"/>
          <w:lang w:val="en-US" w:eastAsia="fr-FR" w:bidi="he-IL"/>
        </w:rPr>
        <w:t> Center for Science and International Affairs, Harvard Kennedy School</w:t>
      </w:r>
      <w:r w:rsidR="0067594E" w:rsidRPr="00D806D9">
        <w:rPr>
          <w:rFonts w:asciiTheme="majorBidi" w:eastAsia="Times New Roman" w:hAnsiTheme="majorBidi" w:cstheme="majorBidi"/>
          <w:sz w:val="24"/>
          <w:szCs w:val="24"/>
          <w:lang w:val="en-US" w:eastAsia="fr-FR" w:bidi="he-IL"/>
        </w:rPr>
        <w:t xml:space="preserve">. </w:t>
      </w:r>
      <w:hyperlink r:id="rId107" w:history="1">
        <w:r w:rsidR="0067594E" w:rsidRPr="00D806D9">
          <w:rPr>
            <w:rStyle w:val="Hyperlink"/>
            <w:rFonts w:asciiTheme="majorBidi" w:eastAsia="Times New Roman" w:hAnsiTheme="majorBidi" w:cstheme="majorBidi"/>
            <w:sz w:val="24"/>
            <w:szCs w:val="24"/>
            <w:lang w:val="en-US" w:eastAsia="fr-FR" w:bidi="he-IL"/>
          </w:rPr>
          <w:t>Link</w:t>
        </w:r>
      </w:hyperlink>
    </w:p>
    <w:p w14:paraId="559253FE" w14:textId="77777777" w:rsidR="00A56E8A" w:rsidRPr="00D806D9" w:rsidRDefault="00A56E8A"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1766FCBD" w14:textId="69AD0FE9"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Ocko</w:t>
      </w:r>
      <w:proofErr w:type="spellEnd"/>
      <w:r w:rsidRPr="00D806D9">
        <w:rPr>
          <w:rFonts w:asciiTheme="majorBidi" w:hAnsiTheme="majorBidi" w:cstheme="majorBidi"/>
          <w:sz w:val="24"/>
          <w:szCs w:val="24"/>
          <w:lang w:val="en-US"/>
        </w:rPr>
        <w:t xml:space="preserve">, I. B., &amp; Hamburg, S. P. (2022). Climate Consequences of Hydrogen Emissions. </w:t>
      </w:r>
      <w:r w:rsidRPr="00D806D9">
        <w:rPr>
          <w:rFonts w:asciiTheme="majorBidi" w:hAnsiTheme="majorBidi" w:cstheme="majorBidi"/>
          <w:i/>
          <w:iCs/>
          <w:sz w:val="24"/>
          <w:szCs w:val="24"/>
          <w:lang w:val="en-US"/>
        </w:rPr>
        <w:t xml:space="preserve">Atmospheric </w:t>
      </w:r>
      <w:proofErr w:type="spellStart"/>
      <w:r w:rsidRPr="00D806D9">
        <w:rPr>
          <w:rFonts w:asciiTheme="majorBidi" w:hAnsiTheme="majorBidi" w:cstheme="majorBidi"/>
          <w:i/>
          <w:iCs/>
          <w:sz w:val="24"/>
          <w:szCs w:val="24"/>
          <w:lang w:val="en-US"/>
        </w:rPr>
        <w:t>Chemistery</w:t>
      </w:r>
      <w:proofErr w:type="spellEnd"/>
      <w:r w:rsidRPr="00D806D9">
        <w:rPr>
          <w:rFonts w:asciiTheme="majorBidi" w:hAnsiTheme="majorBidi" w:cstheme="majorBidi"/>
          <w:i/>
          <w:iCs/>
          <w:sz w:val="24"/>
          <w:szCs w:val="24"/>
          <w:lang w:val="en-US"/>
        </w:rPr>
        <w:t xml:space="preserve"> and Physics</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22</w:t>
      </w:r>
      <w:r w:rsidRPr="00D806D9">
        <w:rPr>
          <w:rFonts w:asciiTheme="majorBidi" w:hAnsiTheme="majorBidi" w:cstheme="majorBidi"/>
          <w:sz w:val="24"/>
          <w:szCs w:val="24"/>
          <w:lang w:val="en-US"/>
        </w:rPr>
        <w:t xml:space="preserve">, 9349-9368. </w:t>
      </w:r>
      <w:hyperlink r:id="rId108" w:history="1">
        <w:r w:rsidRPr="00D806D9">
          <w:rPr>
            <w:rStyle w:val="Hyperlink"/>
            <w:rFonts w:asciiTheme="majorBidi" w:hAnsiTheme="majorBidi" w:cstheme="majorBidi"/>
            <w:sz w:val="24"/>
            <w:szCs w:val="24"/>
            <w:lang w:val="en-US"/>
          </w:rPr>
          <w:t>Link</w:t>
        </w:r>
      </w:hyperlink>
    </w:p>
    <w:p w14:paraId="2F485947"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64FAADA2" w14:textId="0595C766"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OECD. (2021). </w:t>
      </w:r>
      <w:r w:rsidRPr="00D806D9">
        <w:rPr>
          <w:rFonts w:asciiTheme="majorBidi" w:hAnsiTheme="majorBidi" w:cstheme="majorBidi"/>
          <w:i/>
          <w:iCs/>
          <w:sz w:val="24"/>
          <w:szCs w:val="24"/>
          <w:lang w:val="en-US"/>
        </w:rPr>
        <w:t>OECD Economic Surveys: European Union 2021</w:t>
      </w:r>
      <w:r w:rsidRPr="00D806D9">
        <w:rPr>
          <w:rFonts w:asciiTheme="majorBidi" w:hAnsiTheme="majorBidi" w:cstheme="majorBidi"/>
          <w:sz w:val="24"/>
          <w:szCs w:val="24"/>
          <w:lang w:val="en-US"/>
        </w:rPr>
        <w:t xml:space="preserve">. </w:t>
      </w:r>
      <w:hyperlink r:id="rId109" w:history="1">
        <w:r w:rsidRPr="00D806D9">
          <w:rPr>
            <w:rStyle w:val="Hyperlink"/>
            <w:rFonts w:asciiTheme="majorBidi" w:hAnsiTheme="majorBidi" w:cstheme="majorBidi"/>
            <w:sz w:val="24"/>
            <w:szCs w:val="24"/>
            <w:lang w:val="en-US"/>
          </w:rPr>
          <w:t>Link</w:t>
        </w:r>
      </w:hyperlink>
    </w:p>
    <w:p w14:paraId="5E0F35EC" w14:textId="77777777" w:rsidR="00A56E8A" w:rsidRPr="00D806D9" w:rsidRDefault="00A56E8A" w:rsidP="00003440">
      <w:pPr>
        <w:pStyle w:val="FootnoteText"/>
        <w:jc w:val="both"/>
        <w:rPr>
          <w:rFonts w:asciiTheme="majorBidi" w:hAnsiTheme="majorBidi" w:cstheme="majorBidi"/>
          <w:sz w:val="24"/>
          <w:szCs w:val="24"/>
          <w:lang w:val="en-US"/>
        </w:rPr>
      </w:pPr>
    </w:p>
    <w:p w14:paraId="7FE40AEC" w14:textId="08947C79" w:rsidR="00E60725" w:rsidRPr="00D806D9" w:rsidRDefault="00E60725"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OECD/IEA. (2016). </w:t>
      </w:r>
      <w:r w:rsidRPr="00D806D9">
        <w:rPr>
          <w:rFonts w:asciiTheme="majorBidi" w:hAnsiTheme="majorBidi" w:cstheme="majorBidi"/>
          <w:i/>
          <w:iCs/>
          <w:sz w:val="24"/>
          <w:szCs w:val="24"/>
          <w:lang w:val="en-US"/>
        </w:rPr>
        <w:t>20 Years of Carbon Capture and Storage - Accelerating Future Deployment</w:t>
      </w:r>
      <w:r w:rsidRPr="00D806D9">
        <w:rPr>
          <w:rFonts w:asciiTheme="majorBidi" w:hAnsiTheme="majorBidi" w:cstheme="majorBidi"/>
          <w:sz w:val="24"/>
          <w:szCs w:val="24"/>
          <w:lang w:val="en-US"/>
        </w:rPr>
        <w:t xml:space="preserve">. </w:t>
      </w:r>
      <w:hyperlink r:id="rId110"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w:t>
      </w:r>
    </w:p>
    <w:p w14:paraId="4377EA59" w14:textId="77777777" w:rsidR="00A56E8A" w:rsidRPr="00D806D9" w:rsidRDefault="00A56E8A" w:rsidP="00003440">
      <w:pPr>
        <w:pStyle w:val="FootnoteText"/>
        <w:jc w:val="both"/>
        <w:rPr>
          <w:rFonts w:asciiTheme="majorBidi" w:hAnsiTheme="majorBidi" w:cstheme="majorBidi"/>
          <w:sz w:val="24"/>
          <w:szCs w:val="24"/>
          <w:lang w:val="en-US"/>
        </w:rPr>
      </w:pPr>
    </w:p>
    <w:p w14:paraId="6A83EF3A" w14:textId="2051750D" w:rsidR="00E60725" w:rsidRPr="00D806D9" w:rsidRDefault="00E60725" w:rsidP="00003440">
      <w:pPr>
        <w:pStyle w:val="FootnoteText"/>
        <w:jc w:val="both"/>
        <w:rPr>
          <w:rStyle w:val="Hyperlink"/>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Ohlig</w:t>
      </w:r>
      <w:proofErr w:type="spellEnd"/>
      <w:r w:rsidRPr="00D806D9">
        <w:rPr>
          <w:rFonts w:asciiTheme="majorBidi" w:hAnsiTheme="majorBidi" w:cstheme="majorBidi"/>
          <w:sz w:val="24"/>
          <w:szCs w:val="24"/>
          <w:lang w:val="en-US"/>
        </w:rPr>
        <w:t xml:space="preserve">, K., &amp; Decker, L. (2014). The </w:t>
      </w:r>
      <w:r w:rsidR="00493436" w:rsidRPr="00D806D9">
        <w:rPr>
          <w:rFonts w:asciiTheme="majorBidi" w:hAnsiTheme="majorBidi" w:cstheme="majorBidi"/>
          <w:sz w:val="24"/>
          <w:szCs w:val="24"/>
          <w:lang w:val="en-US"/>
        </w:rPr>
        <w:t>L</w:t>
      </w:r>
      <w:r w:rsidRPr="00D806D9">
        <w:rPr>
          <w:rFonts w:asciiTheme="majorBidi" w:hAnsiTheme="majorBidi" w:cstheme="majorBidi"/>
          <w:sz w:val="24"/>
          <w:szCs w:val="24"/>
          <w:lang w:val="en-US"/>
        </w:rPr>
        <w:t xml:space="preserve">atest </w:t>
      </w:r>
      <w:r w:rsidR="00493436" w:rsidRPr="00D806D9">
        <w:rPr>
          <w:rFonts w:asciiTheme="majorBidi" w:hAnsiTheme="majorBidi" w:cstheme="majorBidi"/>
          <w:sz w:val="24"/>
          <w:szCs w:val="24"/>
          <w:lang w:val="en-US"/>
        </w:rPr>
        <w:t>D</w:t>
      </w:r>
      <w:r w:rsidRPr="00D806D9">
        <w:rPr>
          <w:rFonts w:asciiTheme="majorBidi" w:hAnsiTheme="majorBidi" w:cstheme="majorBidi"/>
          <w:sz w:val="24"/>
          <w:szCs w:val="24"/>
          <w:lang w:val="en-US"/>
        </w:rPr>
        <w:t xml:space="preserve">evelopments and </w:t>
      </w:r>
      <w:r w:rsidR="00493436" w:rsidRPr="00D806D9">
        <w:rPr>
          <w:rFonts w:asciiTheme="majorBidi" w:hAnsiTheme="majorBidi" w:cstheme="majorBidi"/>
          <w:sz w:val="24"/>
          <w:szCs w:val="24"/>
          <w:lang w:val="en-US"/>
        </w:rPr>
        <w:t>O</w:t>
      </w:r>
      <w:r w:rsidRPr="00D806D9">
        <w:rPr>
          <w:rFonts w:asciiTheme="majorBidi" w:hAnsiTheme="majorBidi" w:cstheme="majorBidi"/>
          <w:sz w:val="24"/>
          <w:szCs w:val="24"/>
          <w:lang w:val="en-US"/>
        </w:rPr>
        <w:t xml:space="preserve">utlook for </w:t>
      </w:r>
      <w:r w:rsidR="00493436" w:rsidRPr="00D806D9">
        <w:rPr>
          <w:rFonts w:asciiTheme="majorBidi" w:hAnsiTheme="majorBidi" w:cstheme="majorBidi"/>
          <w:sz w:val="24"/>
          <w:szCs w:val="24"/>
          <w:lang w:val="en-US"/>
        </w:rPr>
        <w:t>H</w:t>
      </w:r>
      <w:r w:rsidRPr="00D806D9">
        <w:rPr>
          <w:rFonts w:asciiTheme="majorBidi" w:hAnsiTheme="majorBidi" w:cstheme="majorBidi"/>
          <w:sz w:val="24"/>
          <w:szCs w:val="24"/>
          <w:lang w:val="en-US"/>
        </w:rPr>
        <w:t xml:space="preserve">ydrogen </w:t>
      </w:r>
      <w:r w:rsidR="00493436" w:rsidRPr="00D806D9">
        <w:rPr>
          <w:rFonts w:asciiTheme="majorBidi" w:hAnsiTheme="majorBidi" w:cstheme="majorBidi"/>
          <w:sz w:val="24"/>
          <w:szCs w:val="24"/>
          <w:lang w:val="en-US"/>
        </w:rPr>
        <w:t>L</w:t>
      </w:r>
      <w:r w:rsidRPr="00D806D9">
        <w:rPr>
          <w:rFonts w:asciiTheme="majorBidi" w:hAnsiTheme="majorBidi" w:cstheme="majorBidi"/>
          <w:sz w:val="24"/>
          <w:szCs w:val="24"/>
          <w:lang w:val="en-US"/>
        </w:rPr>
        <w:t xml:space="preserve">iquefaction </w:t>
      </w:r>
      <w:r w:rsidR="00493436"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echnology. AIP Conference Proceedings, </w:t>
      </w:r>
      <w:r w:rsidRPr="00D806D9">
        <w:rPr>
          <w:rFonts w:asciiTheme="majorBidi" w:hAnsiTheme="majorBidi" w:cstheme="majorBidi"/>
          <w:i/>
          <w:iCs/>
          <w:sz w:val="24"/>
          <w:szCs w:val="24"/>
          <w:lang w:val="en-US"/>
        </w:rPr>
        <w:t>1573</w:t>
      </w:r>
      <w:r w:rsidRPr="00D806D9">
        <w:rPr>
          <w:rFonts w:asciiTheme="majorBidi" w:hAnsiTheme="majorBidi" w:cstheme="majorBidi"/>
          <w:sz w:val="24"/>
          <w:szCs w:val="24"/>
          <w:lang w:val="en-US"/>
        </w:rPr>
        <w:t xml:space="preserve">(1), Article 1311. </w:t>
      </w:r>
      <w:hyperlink r:id="rId111" w:history="1">
        <w:r w:rsidRPr="00D806D9">
          <w:rPr>
            <w:rStyle w:val="Hyperlink"/>
            <w:rFonts w:asciiTheme="majorBidi" w:hAnsiTheme="majorBidi" w:cstheme="majorBidi"/>
            <w:sz w:val="24"/>
            <w:szCs w:val="24"/>
            <w:lang w:val="en-US"/>
          </w:rPr>
          <w:t>Link</w:t>
        </w:r>
      </w:hyperlink>
    </w:p>
    <w:p w14:paraId="6FEFB903" w14:textId="77777777" w:rsidR="00A56E8A" w:rsidRPr="00D806D9" w:rsidRDefault="00A56E8A" w:rsidP="00003440">
      <w:pPr>
        <w:pStyle w:val="FootnoteText"/>
        <w:jc w:val="both"/>
        <w:rPr>
          <w:rFonts w:asciiTheme="majorBidi" w:hAnsiTheme="majorBidi" w:cstheme="majorBidi"/>
          <w:sz w:val="24"/>
          <w:szCs w:val="24"/>
          <w:lang w:val="en-US"/>
        </w:rPr>
      </w:pPr>
    </w:p>
    <w:p w14:paraId="627D68B2" w14:textId="5A99A2E5"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Parkinson, B., Tabatabaei, M., Upham, D.C., Ballinger, B., Greig, C., Smart, S., &amp; McFarland, E. (2018). Hydrogen Production using Methane: Techno-Economics of Decarbonizing Fuels and Chemicals. </w:t>
      </w:r>
      <w:r w:rsidRPr="00D806D9">
        <w:rPr>
          <w:rFonts w:asciiTheme="majorBidi" w:hAnsiTheme="majorBidi" w:cstheme="majorBidi"/>
          <w:i/>
          <w:iCs/>
          <w:sz w:val="24"/>
          <w:szCs w:val="24"/>
          <w:lang w:val="en-US"/>
        </w:rPr>
        <w:t>International Journal of Hydrogen Energy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43</w:t>
      </w:r>
      <w:r w:rsidRPr="00D806D9">
        <w:rPr>
          <w:rFonts w:asciiTheme="majorBidi" w:hAnsiTheme="majorBidi" w:cstheme="majorBidi"/>
          <w:sz w:val="24"/>
          <w:szCs w:val="24"/>
          <w:lang w:val="en-US"/>
        </w:rPr>
        <w:t xml:space="preserve">(5), 2540-2555. </w:t>
      </w:r>
      <w:hyperlink r:id="rId112" w:history="1">
        <w:r w:rsidRPr="00D806D9">
          <w:rPr>
            <w:rStyle w:val="Hyperlink"/>
            <w:rFonts w:asciiTheme="majorBidi" w:hAnsiTheme="majorBidi" w:cstheme="majorBidi"/>
            <w:sz w:val="24"/>
            <w:szCs w:val="24"/>
            <w:lang w:val="en-US"/>
          </w:rPr>
          <w:t>Link</w:t>
        </w:r>
      </w:hyperlink>
    </w:p>
    <w:p w14:paraId="530B204E" w14:textId="77777777" w:rsidR="00A56E8A" w:rsidRPr="00D806D9" w:rsidRDefault="00A56E8A" w:rsidP="00003440">
      <w:pPr>
        <w:pStyle w:val="FootnoteText"/>
        <w:jc w:val="both"/>
        <w:rPr>
          <w:rFonts w:asciiTheme="majorBidi" w:hAnsiTheme="majorBidi" w:cstheme="majorBidi"/>
          <w:sz w:val="24"/>
          <w:szCs w:val="24"/>
          <w:lang w:val="en-US"/>
        </w:rPr>
      </w:pPr>
    </w:p>
    <w:p w14:paraId="002672B3" w14:textId="6CE32680"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Pflugmann, F., &amp; De Blasio, N. (2020). </w:t>
      </w:r>
      <w:r w:rsidRPr="00D806D9">
        <w:rPr>
          <w:rFonts w:asciiTheme="majorBidi" w:hAnsiTheme="majorBidi" w:cstheme="majorBidi"/>
          <w:i/>
          <w:iCs/>
          <w:sz w:val="24"/>
          <w:szCs w:val="24"/>
          <w:lang w:val="en-US"/>
        </w:rPr>
        <w:t>Geopolitical and Market Implications of Renewable Hydrogen New Dependencies in a Low-Carbon Energy World</w:t>
      </w:r>
      <w:r w:rsidRPr="00D806D9">
        <w:rPr>
          <w:rFonts w:asciiTheme="majorBidi" w:hAnsiTheme="majorBidi" w:cstheme="majorBidi"/>
          <w:sz w:val="24"/>
          <w:szCs w:val="24"/>
          <w:lang w:val="en-US"/>
        </w:rPr>
        <w:t xml:space="preserve">. Harvard Kennedy School. </w:t>
      </w:r>
      <w:hyperlink r:id="rId113" w:history="1">
        <w:r w:rsidRPr="00D806D9">
          <w:rPr>
            <w:rStyle w:val="Hyperlink"/>
            <w:rFonts w:asciiTheme="majorBidi" w:hAnsiTheme="majorBidi" w:cstheme="majorBidi"/>
            <w:sz w:val="24"/>
            <w:szCs w:val="24"/>
            <w:lang w:val="en-US"/>
          </w:rPr>
          <w:t>Link</w:t>
        </w:r>
      </w:hyperlink>
    </w:p>
    <w:p w14:paraId="6148F85B" w14:textId="77777777" w:rsidR="00A56E8A" w:rsidRPr="00D806D9" w:rsidRDefault="00A56E8A" w:rsidP="00003440">
      <w:pPr>
        <w:pStyle w:val="FootnoteText"/>
        <w:jc w:val="both"/>
        <w:rPr>
          <w:rFonts w:asciiTheme="majorBidi" w:hAnsiTheme="majorBidi" w:cstheme="majorBidi"/>
          <w:sz w:val="24"/>
          <w:szCs w:val="24"/>
          <w:lang w:val="en-US"/>
        </w:rPr>
      </w:pPr>
    </w:p>
    <w:p w14:paraId="5E0ADE12" w14:textId="476C9EA3" w:rsidR="00E60725" w:rsidRPr="00D806D9" w:rsidRDefault="00E60725" w:rsidP="00003440">
      <w:pPr>
        <w:shd w:val="clear" w:color="auto" w:fill="FFFFFF"/>
        <w:spacing w:after="0" w:line="240" w:lineRule="auto"/>
        <w:jc w:val="both"/>
        <w:textAlignment w:val="baseline"/>
        <w:rPr>
          <w:rFonts w:asciiTheme="majorBidi" w:hAnsiTheme="majorBidi" w:cstheme="majorBidi"/>
          <w:sz w:val="24"/>
          <w:szCs w:val="24"/>
          <w:lang w:val="en-US"/>
        </w:rPr>
      </w:pPr>
      <w:r w:rsidRPr="00D806D9">
        <w:rPr>
          <w:rFonts w:asciiTheme="majorBidi" w:hAnsiTheme="majorBidi" w:cstheme="majorBidi"/>
          <w:sz w:val="24"/>
          <w:szCs w:val="24"/>
          <w:lang w:val="en-US"/>
        </w:rPr>
        <w:t xml:space="preserve">Pigou, A.C. (1920). </w:t>
      </w:r>
      <w:r w:rsidRPr="00D806D9">
        <w:rPr>
          <w:rFonts w:asciiTheme="majorBidi" w:hAnsiTheme="majorBidi" w:cstheme="majorBidi"/>
          <w:i/>
          <w:iCs/>
          <w:sz w:val="24"/>
          <w:szCs w:val="24"/>
          <w:lang w:val="en-US"/>
        </w:rPr>
        <w:t>The Economics of Welfare</w:t>
      </w:r>
      <w:r w:rsidRPr="00D806D9">
        <w:rPr>
          <w:rFonts w:asciiTheme="majorBidi" w:hAnsiTheme="majorBidi" w:cstheme="majorBidi"/>
          <w:sz w:val="24"/>
          <w:szCs w:val="24"/>
          <w:lang w:val="en-US"/>
        </w:rPr>
        <w:t>. London Macmillan &amp; Co.</w:t>
      </w:r>
    </w:p>
    <w:p w14:paraId="2D0EBC6A" w14:textId="77777777" w:rsidR="00A56E8A" w:rsidRPr="00D806D9" w:rsidRDefault="00A56E8A" w:rsidP="00003440">
      <w:pPr>
        <w:shd w:val="clear" w:color="auto" w:fill="FFFFFF"/>
        <w:spacing w:after="0" w:line="240" w:lineRule="auto"/>
        <w:jc w:val="both"/>
        <w:textAlignment w:val="baseline"/>
        <w:rPr>
          <w:rFonts w:asciiTheme="majorBidi" w:hAnsiTheme="majorBidi" w:cstheme="majorBidi"/>
          <w:sz w:val="24"/>
          <w:szCs w:val="24"/>
          <w:lang w:val="en-US"/>
        </w:rPr>
      </w:pPr>
    </w:p>
    <w:p w14:paraId="61F63659" w14:textId="0FB1972B"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Popp, D. (2019). Environmental </w:t>
      </w:r>
      <w:r w:rsidR="00DC5442"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olicy and </w:t>
      </w:r>
      <w:r w:rsidR="00DC5442"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nnovation: a </w:t>
      </w:r>
      <w:r w:rsidR="00DC5442" w:rsidRPr="00D806D9">
        <w:rPr>
          <w:rFonts w:asciiTheme="majorBidi" w:hAnsiTheme="majorBidi" w:cstheme="majorBidi"/>
          <w:sz w:val="24"/>
          <w:szCs w:val="24"/>
          <w:lang w:val="en-US"/>
        </w:rPr>
        <w:t>D</w:t>
      </w:r>
      <w:r w:rsidRPr="00D806D9">
        <w:rPr>
          <w:rFonts w:asciiTheme="majorBidi" w:hAnsiTheme="majorBidi" w:cstheme="majorBidi"/>
          <w:sz w:val="24"/>
          <w:szCs w:val="24"/>
          <w:lang w:val="en-US"/>
        </w:rPr>
        <w:t xml:space="preserve">ecade of </w:t>
      </w:r>
      <w:r w:rsidR="00DC5442" w:rsidRPr="00D806D9">
        <w:rPr>
          <w:rFonts w:asciiTheme="majorBidi" w:hAnsiTheme="majorBidi" w:cstheme="majorBidi"/>
          <w:sz w:val="24"/>
          <w:szCs w:val="24"/>
          <w:lang w:val="en-US"/>
        </w:rPr>
        <w:t>R</w:t>
      </w:r>
      <w:r w:rsidRPr="00D806D9">
        <w:rPr>
          <w:rFonts w:asciiTheme="majorBidi" w:hAnsiTheme="majorBidi" w:cstheme="majorBidi"/>
          <w:sz w:val="24"/>
          <w:szCs w:val="24"/>
          <w:lang w:val="en-US"/>
        </w:rPr>
        <w:t xml:space="preserve">esearch. </w:t>
      </w:r>
      <w:r w:rsidR="0061572C" w:rsidRPr="00D806D9">
        <w:rPr>
          <w:rFonts w:asciiTheme="majorBidi" w:hAnsiTheme="majorBidi" w:cstheme="majorBidi"/>
          <w:i/>
          <w:iCs/>
          <w:sz w:val="24"/>
          <w:szCs w:val="24"/>
          <w:lang w:val="en-US"/>
        </w:rPr>
        <w:t>International Review of Environmental and Resource Economics</w:t>
      </w:r>
      <w:r w:rsidR="00DC5442"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13</w:t>
      </w:r>
      <w:r w:rsidRPr="00D806D9">
        <w:rPr>
          <w:rFonts w:asciiTheme="majorBidi" w:hAnsiTheme="majorBidi" w:cstheme="majorBidi"/>
          <w:sz w:val="24"/>
          <w:szCs w:val="24"/>
          <w:lang w:val="en-US"/>
        </w:rPr>
        <w:t>(3–4)</w:t>
      </w:r>
      <w:r w:rsidR="00DC5442"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265</w:t>
      </w:r>
      <w:r w:rsidR="00DC5442" w:rsidRPr="00D806D9">
        <w:rPr>
          <w:rFonts w:asciiTheme="majorBidi" w:hAnsiTheme="majorBidi" w:cstheme="majorBidi"/>
          <w:sz w:val="24"/>
          <w:szCs w:val="24"/>
          <w:lang w:val="en-US"/>
        </w:rPr>
        <w:t>-</w:t>
      </w:r>
      <w:r w:rsidRPr="00D806D9">
        <w:rPr>
          <w:rFonts w:asciiTheme="majorBidi" w:hAnsiTheme="majorBidi" w:cstheme="majorBidi"/>
          <w:sz w:val="24"/>
          <w:szCs w:val="24"/>
          <w:lang w:val="en-US"/>
        </w:rPr>
        <w:t>337</w:t>
      </w:r>
      <w:r w:rsidR="00DC5442" w:rsidRPr="00D806D9">
        <w:rPr>
          <w:rFonts w:asciiTheme="majorBidi" w:hAnsiTheme="majorBidi" w:cstheme="majorBidi"/>
          <w:sz w:val="24"/>
          <w:szCs w:val="24"/>
          <w:lang w:val="en-US"/>
        </w:rPr>
        <w:t xml:space="preserve">. </w:t>
      </w:r>
      <w:hyperlink r:id="rId114" w:history="1">
        <w:r w:rsidR="00DC5442" w:rsidRPr="00D806D9">
          <w:rPr>
            <w:rStyle w:val="Hyperlink"/>
            <w:rFonts w:asciiTheme="majorBidi" w:hAnsiTheme="majorBidi" w:cstheme="majorBidi"/>
            <w:sz w:val="24"/>
            <w:szCs w:val="24"/>
            <w:lang w:val="en-US"/>
          </w:rPr>
          <w:t>Link</w:t>
        </w:r>
      </w:hyperlink>
    </w:p>
    <w:p w14:paraId="3DF28E74"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3D8FEC71" w14:textId="1D4FC671"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Preuster, P., </w:t>
      </w:r>
      <w:proofErr w:type="spellStart"/>
      <w:r w:rsidRPr="00D806D9">
        <w:rPr>
          <w:rFonts w:asciiTheme="majorBidi" w:hAnsiTheme="majorBidi" w:cstheme="majorBidi"/>
          <w:sz w:val="24"/>
          <w:szCs w:val="24"/>
          <w:lang w:val="en-US"/>
        </w:rPr>
        <w:t>Alezseev</w:t>
      </w:r>
      <w:proofErr w:type="spellEnd"/>
      <w:r w:rsidRPr="00D806D9">
        <w:rPr>
          <w:rFonts w:asciiTheme="majorBidi" w:hAnsiTheme="majorBidi" w:cstheme="majorBidi"/>
          <w:sz w:val="24"/>
          <w:szCs w:val="24"/>
          <w:lang w:val="en-US"/>
        </w:rPr>
        <w:t xml:space="preserve">, A., &amp; </w:t>
      </w:r>
      <w:proofErr w:type="spellStart"/>
      <w:r w:rsidRPr="00D806D9">
        <w:rPr>
          <w:rFonts w:asciiTheme="majorBidi" w:hAnsiTheme="majorBidi" w:cstheme="majorBidi"/>
          <w:sz w:val="24"/>
          <w:szCs w:val="24"/>
          <w:lang w:val="en-US"/>
        </w:rPr>
        <w:t>Wassercheid</w:t>
      </w:r>
      <w:proofErr w:type="spellEnd"/>
      <w:r w:rsidRPr="00D806D9">
        <w:rPr>
          <w:rFonts w:asciiTheme="majorBidi" w:hAnsiTheme="majorBidi" w:cstheme="majorBidi"/>
          <w:sz w:val="24"/>
          <w:szCs w:val="24"/>
          <w:lang w:val="en-US"/>
        </w:rPr>
        <w:t xml:space="preserve">, P. (2017). Hydrogen Storage Technologies for Future Energy Systems. </w:t>
      </w:r>
      <w:r w:rsidRPr="00D806D9">
        <w:rPr>
          <w:rFonts w:asciiTheme="majorBidi" w:hAnsiTheme="majorBidi" w:cstheme="majorBidi"/>
          <w:i/>
          <w:iCs/>
          <w:sz w:val="24"/>
          <w:szCs w:val="24"/>
          <w:lang w:val="en-US"/>
        </w:rPr>
        <w:t>Annual Review of Chemical and Biomolecular Engineering</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8</w:t>
      </w:r>
      <w:r w:rsidRPr="00D806D9">
        <w:rPr>
          <w:rFonts w:asciiTheme="majorBidi" w:hAnsiTheme="majorBidi" w:cstheme="majorBidi"/>
          <w:sz w:val="24"/>
          <w:szCs w:val="24"/>
          <w:lang w:val="en-US"/>
        </w:rPr>
        <w:t xml:space="preserve">(1), 445-471. </w:t>
      </w:r>
      <w:hyperlink r:id="rId115" w:history="1">
        <w:r w:rsidRPr="00D806D9">
          <w:rPr>
            <w:rStyle w:val="Hyperlink"/>
            <w:rFonts w:asciiTheme="majorBidi" w:hAnsiTheme="majorBidi" w:cstheme="majorBidi"/>
            <w:sz w:val="24"/>
            <w:szCs w:val="24"/>
            <w:lang w:val="en-US"/>
          </w:rPr>
          <w:t>Link</w:t>
        </w:r>
      </w:hyperlink>
    </w:p>
    <w:p w14:paraId="187CAFC6" w14:textId="77777777" w:rsidR="00A56E8A" w:rsidRPr="00D806D9" w:rsidRDefault="00A56E8A" w:rsidP="00003440">
      <w:pPr>
        <w:pStyle w:val="FootnoteText"/>
        <w:jc w:val="both"/>
        <w:rPr>
          <w:rStyle w:val="Hyperlink"/>
          <w:rFonts w:asciiTheme="majorBidi" w:hAnsiTheme="majorBidi" w:cstheme="majorBidi"/>
          <w:sz w:val="24"/>
          <w:szCs w:val="24"/>
          <w:lang w:val="en-US"/>
        </w:rPr>
      </w:pPr>
    </w:p>
    <w:p w14:paraId="556E8B68" w14:textId="027006CA" w:rsidR="00E60725" w:rsidRPr="00D806D9" w:rsidRDefault="00E60725" w:rsidP="00003440">
      <w:pPr>
        <w:pStyle w:val="FootnoteText"/>
        <w:jc w:val="both"/>
        <w:rPr>
          <w:rStyle w:val="Hyperlink"/>
          <w:rFonts w:asciiTheme="majorBidi" w:eastAsia="Times New Roman" w:hAnsiTheme="majorBidi" w:cstheme="majorBidi"/>
          <w:sz w:val="24"/>
          <w:szCs w:val="24"/>
          <w:lang w:val="en-US"/>
        </w:rPr>
      </w:pPr>
      <w:r w:rsidRPr="00D806D9">
        <w:rPr>
          <w:rFonts w:asciiTheme="majorBidi" w:eastAsia="Times New Roman" w:hAnsiTheme="majorBidi" w:cstheme="majorBidi"/>
          <w:sz w:val="24"/>
          <w:szCs w:val="24"/>
          <w:lang w:val="en-US"/>
        </w:rPr>
        <w:t xml:space="preserve">Prinzhofer, A., </w:t>
      </w:r>
      <w:proofErr w:type="spellStart"/>
      <w:r w:rsidRPr="00D806D9">
        <w:rPr>
          <w:rFonts w:asciiTheme="majorBidi" w:eastAsia="Times New Roman" w:hAnsiTheme="majorBidi" w:cstheme="majorBidi"/>
          <w:sz w:val="24"/>
          <w:szCs w:val="24"/>
          <w:lang w:val="en-US"/>
        </w:rPr>
        <w:t>Cissé</w:t>
      </w:r>
      <w:proofErr w:type="spellEnd"/>
      <w:r w:rsidRPr="00D806D9">
        <w:rPr>
          <w:rFonts w:asciiTheme="majorBidi" w:eastAsia="Times New Roman" w:hAnsiTheme="majorBidi" w:cstheme="majorBidi"/>
          <w:sz w:val="24"/>
          <w:szCs w:val="24"/>
          <w:lang w:val="en-US"/>
        </w:rPr>
        <w:t xml:space="preserve">, C.S.T., &amp; Diallo, A.B. (2018). Discovery of a Large Accumulation of Natural Hydrogen in </w:t>
      </w:r>
      <w:proofErr w:type="spellStart"/>
      <w:r w:rsidRPr="00D806D9">
        <w:rPr>
          <w:rFonts w:asciiTheme="majorBidi" w:eastAsia="Times New Roman" w:hAnsiTheme="majorBidi" w:cstheme="majorBidi"/>
          <w:sz w:val="24"/>
          <w:szCs w:val="24"/>
          <w:lang w:val="en-US"/>
        </w:rPr>
        <w:t>Bourakebougou</w:t>
      </w:r>
      <w:proofErr w:type="spellEnd"/>
      <w:r w:rsidRPr="00D806D9">
        <w:rPr>
          <w:rFonts w:asciiTheme="majorBidi" w:eastAsia="Times New Roman" w:hAnsiTheme="majorBidi" w:cstheme="majorBidi"/>
          <w:sz w:val="24"/>
          <w:szCs w:val="24"/>
          <w:lang w:val="en-US"/>
        </w:rPr>
        <w:t xml:space="preserve"> (Mali). </w:t>
      </w:r>
      <w:r w:rsidRPr="00D806D9">
        <w:rPr>
          <w:rFonts w:asciiTheme="majorBidi" w:eastAsia="Times New Roman" w:hAnsiTheme="majorBidi" w:cstheme="majorBidi"/>
          <w:i/>
          <w:iCs/>
          <w:sz w:val="24"/>
          <w:szCs w:val="24"/>
          <w:lang w:val="en-US"/>
        </w:rPr>
        <w:t>International Journal of Hydrogen Energy</w:t>
      </w:r>
      <w:r w:rsidRPr="00D806D9">
        <w:rPr>
          <w:rFonts w:asciiTheme="majorBidi" w:eastAsia="Times New Roman" w:hAnsiTheme="majorBidi" w:cstheme="majorBidi"/>
          <w:sz w:val="24"/>
          <w:szCs w:val="24"/>
          <w:lang w:val="en-US"/>
        </w:rPr>
        <w:t xml:space="preserve">, </w:t>
      </w:r>
      <w:r w:rsidRPr="00D806D9">
        <w:rPr>
          <w:rFonts w:asciiTheme="majorBidi" w:eastAsia="Times New Roman" w:hAnsiTheme="majorBidi" w:cstheme="majorBidi"/>
          <w:i/>
          <w:iCs/>
          <w:sz w:val="24"/>
          <w:szCs w:val="24"/>
          <w:lang w:val="en-US"/>
        </w:rPr>
        <w:t>43</w:t>
      </w:r>
      <w:r w:rsidRPr="00D806D9">
        <w:rPr>
          <w:rFonts w:asciiTheme="majorBidi" w:eastAsia="Times New Roman" w:hAnsiTheme="majorBidi" w:cstheme="majorBidi"/>
          <w:sz w:val="24"/>
          <w:szCs w:val="24"/>
          <w:lang w:val="en-US"/>
        </w:rPr>
        <w:t xml:space="preserve">(42), 19315-19326. </w:t>
      </w:r>
      <w:hyperlink r:id="rId116" w:history="1">
        <w:r w:rsidRPr="00D806D9">
          <w:rPr>
            <w:rStyle w:val="Hyperlink"/>
            <w:rFonts w:asciiTheme="majorBidi" w:eastAsia="Times New Roman" w:hAnsiTheme="majorBidi" w:cstheme="majorBidi"/>
            <w:sz w:val="24"/>
            <w:szCs w:val="24"/>
            <w:lang w:val="en-US"/>
          </w:rPr>
          <w:t>Link</w:t>
        </w:r>
      </w:hyperlink>
    </w:p>
    <w:p w14:paraId="1EC12E47" w14:textId="77777777" w:rsidR="00A56E8A" w:rsidRPr="00D806D9" w:rsidRDefault="00A56E8A" w:rsidP="00003440">
      <w:pPr>
        <w:pStyle w:val="FootnoteText"/>
        <w:jc w:val="both"/>
        <w:rPr>
          <w:rFonts w:asciiTheme="majorBidi" w:eastAsia="Times New Roman" w:hAnsiTheme="majorBidi" w:cstheme="majorBidi"/>
          <w:sz w:val="24"/>
          <w:szCs w:val="24"/>
          <w:lang w:val="en-US"/>
        </w:rPr>
      </w:pPr>
    </w:p>
    <w:p w14:paraId="0CE70541" w14:textId="26122A31"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Quirion</w:t>
      </w:r>
      <w:proofErr w:type="spellEnd"/>
      <w:r w:rsidRPr="00D806D9">
        <w:rPr>
          <w:rFonts w:asciiTheme="majorBidi" w:hAnsiTheme="majorBidi" w:cstheme="majorBidi"/>
          <w:sz w:val="24"/>
          <w:szCs w:val="24"/>
          <w:lang w:val="en-US"/>
        </w:rPr>
        <w:t xml:space="preserve">, P. (2021). Tradable </w:t>
      </w:r>
      <w:r w:rsidR="00C97764"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nstruments to </w:t>
      </w:r>
      <w:r w:rsidR="00C97764" w:rsidRPr="00D806D9">
        <w:rPr>
          <w:rFonts w:asciiTheme="majorBidi" w:hAnsiTheme="majorBidi" w:cstheme="majorBidi"/>
          <w:sz w:val="24"/>
          <w:szCs w:val="24"/>
          <w:lang w:val="en-US"/>
        </w:rPr>
        <w:t>F</w:t>
      </w:r>
      <w:r w:rsidRPr="00D806D9">
        <w:rPr>
          <w:rFonts w:asciiTheme="majorBidi" w:hAnsiTheme="majorBidi" w:cstheme="majorBidi"/>
          <w:sz w:val="24"/>
          <w:szCs w:val="24"/>
          <w:lang w:val="en-US"/>
        </w:rPr>
        <w:t xml:space="preserve">ight </w:t>
      </w:r>
      <w:r w:rsidR="00C97764"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limate </w:t>
      </w:r>
      <w:r w:rsidR="00C97764"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hange: A </w:t>
      </w:r>
      <w:r w:rsidR="00C97764" w:rsidRPr="00D806D9">
        <w:rPr>
          <w:rFonts w:asciiTheme="majorBidi" w:hAnsiTheme="majorBidi" w:cstheme="majorBidi"/>
          <w:sz w:val="24"/>
          <w:szCs w:val="24"/>
          <w:lang w:val="en-US"/>
        </w:rPr>
        <w:t>D</w:t>
      </w:r>
      <w:r w:rsidRPr="00D806D9">
        <w:rPr>
          <w:rFonts w:asciiTheme="majorBidi" w:hAnsiTheme="majorBidi" w:cstheme="majorBidi"/>
          <w:sz w:val="24"/>
          <w:szCs w:val="24"/>
          <w:lang w:val="en-US"/>
        </w:rPr>
        <w:t xml:space="preserve">isappointing </w:t>
      </w:r>
      <w:r w:rsidR="00C97764" w:rsidRPr="00D806D9">
        <w:rPr>
          <w:rFonts w:asciiTheme="majorBidi" w:hAnsiTheme="majorBidi" w:cstheme="majorBidi"/>
          <w:sz w:val="24"/>
          <w:szCs w:val="24"/>
          <w:lang w:val="en-US"/>
        </w:rPr>
        <w:t>O</w:t>
      </w:r>
      <w:r w:rsidRPr="00D806D9">
        <w:rPr>
          <w:rFonts w:asciiTheme="majorBidi" w:hAnsiTheme="majorBidi" w:cstheme="majorBidi"/>
          <w:sz w:val="24"/>
          <w:szCs w:val="24"/>
          <w:lang w:val="en-US"/>
        </w:rPr>
        <w:t>utcome. </w:t>
      </w:r>
      <w:r w:rsidRPr="00D806D9">
        <w:rPr>
          <w:rFonts w:asciiTheme="majorBidi" w:hAnsiTheme="majorBidi" w:cstheme="majorBidi"/>
          <w:i/>
          <w:iCs/>
          <w:sz w:val="24"/>
          <w:szCs w:val="24"/>
          <w:lang w:val="en-US"/>
        </w:rPr>
        <w:t>WIREs Climate Change</w:t>
      </w:r>
      <w:r w:rsidRPr="00D806D9">
        <w:rPr>
          <w:rFonts w:asciiTheme="majorBidi" w:hAnsiTheme="majorBidi" w:cstheme="majorBidi"/>
          <w:sz w:val="24"/>
          <w:szCs w:val="24"/>
          <w:lang w:val="en-US"/>
        </w:rPr>
        <w:t>, </w:t>
      </w:r>
      <w:r w:rsidRPr="00D806D9">
        <w:rPr>
          <w:rFonts w:asciiTheme="majorBidi" w:hAnsiTheme="majorBidi" w:cstheme="majorBidi"/>
          <w:i/>
          <w:iCs/>
          <w:sz w:val="24"/>
          <w:szCs w:val="24"/>
          <w:lang w:val="en-US"/>
        </w:rPr>
        <w:t>12</w:t>
      </w:r>
      <w:r w:rsidRPr="00D806D9">
        <w:rPr>
          <w:rFonts w:asciiTheme="majorBidi" w:hAnsiTheme="majorBidi" w:cstheme="majorBidi"/>
          <w:sz w:val="24"/>
          <w:szCs w:val="24"/>
          <w:lang w:val="en-US"/>
        </w:rPr>
        <w:t>(3).</w:t>
      </w:r>
      <w:r w:rsidR="00773132" w:rsidRPr="00D806D9">
        <w:rPr>
          <w:rFonts w:asciiTheme="majorBidi" w:hAnsiTheme="majorBidi" w:cstheme="majorBidi"/>
          <w:sz w:val="24"/>
          <w:szCs w:val="24"/>
          <w:lang w:val="en-US"/>
        </w:rPr>
        <w:t xml:space="preserve"> </w:t>
      </w:r>
      <w:hyperlink r:id="rId117" w:history="1">
        <w:r w:rsidR="00773132" w:rsidRPr="00D806D9">
          <w:rPr>
            <w:rStyle w:val="Hyperlink"/>
            <w:rFonts w:asciiTheme="majorBidi" w:hAnsiTheme="majorBidi" w:cstheme="majorBidi"/>
            <w:sz w:val="24"/>
            <w:szCs w:val="24"/>
            <w:lang w:val="en-US"/>
          </w:rPr>
          <w:t>Link</w:t>
        </w:r>
      </w:hyperlink>
    </w:p>
    <w:p w14:paraId="73366804" w14:textId="77777777" w:rsidR="00773132" w:rsidRPr="00D806D9" w:rsidRDefault="00773132" w:rsidP="00003440">
      <w:pPr>
        <w:autoSpaceDE w:val="0"/>
        <w:autoSpaceDN w:val="0"/>
        <w:adjustRightInd w:val="0"/>
        <w:spacing w:after="0" w:line="240" w:lineRule="auto"/>
        <w:jc w:val="both"/>
        <w:rPr>
          <w:rFonts w:asciiTheme="majorBidi" w:hAnsiTheme="majorBidi" w:cstheme="majorBidi"/>
          <w:sz w:val="24"/>
          <w:szCs w:val="24"/>
          <w:lang w:val="en-US"/>
        </w:rPr>
      </w:pPr>
    </w:p>
    <w:p w14:paraId="15C13461" w14:textId="74192ACA"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Requate, T. &amp; Unold, W. (2003). Environmental Policy Incentives to Adopt Advanced Abatement Technology: Will the True Ranking Please Stand up?. </w:t>
      </w:r>
      <w:r w:rsidRPr="00D806D9">
        <w:rPr>
          <w:rFonts w:asciiTheme="majorBidi" w:hAnsiTheme="majorBidi" w:cstheme="majorBidi"/>
          <w:i/>
          <w:iCs/>
          <w:sz w:val="24"/>
          <w:szCs w:val="24"/>
          <w:lang w:val="en-US"/>
        </w:rPr>
        <w:t>European Economic Review</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47</w:t>
      </w:r>
      <w:r w:rsidRPr="00D806D9">
        <w:rPr>
          <w:rFonts w:asciiTheme="majorBidi" w:hAnsiTheme="majorBidi" w:cstheme="majorBidi"/>
          <w:sz w:val="24"/>
          <w:szCs w:val="24"/>
          <w:lang w:val="en-US"/>
        </w:rPr>
        <w:t xml:space="preserve">(1), 125-146. </w:t>
      </w:r>
      <w:hyperlink r:id="rId118" w:history="1">
        <w:r w:rsidRPr="00D806D9">
          <w:rPr>
            <w:rStyle w:val="Hyperlink"/>
            <w:rFonts w:asciiTheme="majorBidi" w:hAnsiTheme="majorBidi" w:cstheme="majorBidi"/>
            <w:sz w:val="24"/>
            <w:szCs w:val="24"/>
            <w:lang w:val="en-US"/>
          </w:rPr>
          <w:t>Link</w:t>
        </w:r>
      </w:hyperlink>
    </w:p>
    <w:p w14:paraId="048B85CA"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300335B2" w14:textId="228604AB" w:rsidR="00E60725" w:rsidRPr="00D806D9"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en-US" w:eastAsia="fr-FR" w:bidi="he-IL"/>
        </w:rPr>
      </w:pPr>
      <w:proofErr w:type="spellStart"/>
      <w:r w:rsidRPr="00D806D9">
        <w:rPr>
          <w:rFonts w:asciiTheme="majorBidi" w:eastAsia="Times New Roman" w:hAnsiTheme="majorBidi" w:cstheme="majorBidi"/>
          <w:sz w:val="24"/>
          <w:szCs w:val="24"/>
          <w:lang w:val="en-US" w:eastAsia="fr-FR" w:bidi="he-IL"/>
        </w:rPr>
        <w:lastRenderedPageBreak/>
        <w:t>Richstein</w:t>
      </w:r>
      <w:proofErr w:type="spellEnd"/>
      <w:r w:rsidRPr="00D806D9">
        <w:rPr>
          <w:rFonts w:asciiTheme="majorBidi" w:eastAsia="Times New Roman" w:hAnsiTheme="majorBidi" w:cstheme="majorBidi"/>
          <w:sz w:val="24"/>
          <w:szCs w:val="24"/>
          <w:lang w:val="en-US" w:eastAsia="fr-FR" w:bidi="he-IL"/>
        </w:rPr>
        <w:t xml:space="preserve">, J. C., &amp; Neuhoff, K. (2022). Carbon </w:t>
      </w:r>
      <w:r w:rsidR="00423ED5"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ontracts-for-</w:t>
      </w:r>
      <w:r w:rsidR="00423ED5" w:rsidRPr="00D806D9">
        <w:rPr>
          <w:rFonts w:asciiTheme="majorBidi" w:eastAsia="Times New Roman" w:hAnsiTheme="majorBidi" w:cstheme="majorBidi"/>
          <w:sz w:val="24"/>
          <w:szCs w:val="24"/>
          <w:lang w:val="en-US" w:eastAsia="fr-FR" w:bidi="he-IL"/>
        </w:rPr>
        <w:t>D</w:t>
      </w:r>
      <w:r w:rsidRPr="00D806D9">
        <w:rPr>
          <w:rFonts w:asciiTheme="majorBidi" w:eastAsia="Times New Roman" w:hAnsiTheme="majorBidi" w:cstheme="majorBidi"/>
          <w:sz w:val="24"/>
          <w:szCs w:val="24"/>
          <w:lang w:val="en-US" w:eastAsia="fr-FR" w:bidi="he-IL"/>
        </w:rPr>
        <w:t xml:space="preserve">ifference: How to </w:t>
      </w:r>
      <w:r w:rsidR="00423ED5" w:rsidRPr="00D806D9">
        <w:rPr>
          <w:rFonts w:asciiTheme="majorBidi" w:eastAsia="Times New Roman" w:hAnsiTheme="majorBidi" w:cstheme="majorBidi"/>
          <w:sz w:val="24"/>
          <w:szCs w:val="24"/>
          <w:lang w:val="en-US" w:eastAsia="fr-FR" w:bidi="he-IL"/>
        </w:rPr>
        <w:t>D</w:t>
      </w:r>
      <w:r w:rsidRPr="00D806D9">
        <w:rPr>
          <w:rFonts w:asciiTheme="majorBidi" w:eastAsia="Times New Roman" w:hAnsiTheme="majorBidi" w:cstheme="majorBidi"/>
          <w:sz w:val="24"/>
          <w:szCs w:val="24"/>
          <w:lang w:val="en-US" w:eastAsia="fr-FR" w:bidi="he-IL"/>
        </w:rPr>
        <w:t>e-</w:t>
      </w:r>
      <w:r w:rsidR="00423ED5" w:rsidRPr="00D806D9">
        <w:rPr>
          <w:rFonts w:asciiTheme="majorBidi" w:eastAsia="Times New Roman" w:hAnsiTheme="majorBidi" w:cstheme="majorBidi"/>
          <w:sz w:val="24"/>
          <w:szCs w:val="24"/>
          <w:lang w:val="en-US" w:eastAsia="fr-FR" w:bidi="he-IL"/>
        </w:rPr>
        <w:t>R</w:t>
      </w:r>
      <w:r w:rsidRPr="00D806D9">
        <w:rPr>
          <w:rFonts w:asciiTheme="majorBidi" w:eastAsia="Times New Roman" w:hAnsiTheme="majorBidi" w:cstheme="majorBidi"/>
          <w:sz w:val="24"/>
          <w:szCs w:val="24"/>
          <w:lang w:val="en-US" w:eastAsia="fr-FR" w:bidi="he-IL"/>
        </w:rPr>
        <w:t xml:space="preserve">isk </w:t>
      </w:r>
      <w:r w:rsidR="00423ED5" w:rsidRPr="00D806D9">
        <w:rPr>
          <w:rFonts w:asciiTheme="majorBidi" w:eastAsia="Times New Roman" w:hAnsiTheme="majorBidi" w:cstheme="majorBidi"/>
          <w:sz w:val="24"/>
          <w:szCs w:val="24"/>
          <w:lang w:val="en-US" w:eastAsia="fr-FR" w:bidi="he-IL"/>
        </w:rPr>
        <w:t>I</w:t>
      </w:r>
      <w:r w:rsidRPr="00D806D9">
        <w:rPr>
          <w:rFonts w:asciiTheme="majorBidi" w:eastAsia="Times New Roman" w:hAnsiTheme="majorBidi" w:cstheme="majorBidi"/>
          <w:sz w:val="24"/>
          <w:szCs w:val="24"/>
          <w:lang w:val="en-US" w:eastAsia="fr-FR" w:bidi="he-IL"/>
        </w:rPr>
        <w:t xml:space="preserve">nnovative </w:t>
      </w:r>
      <w:r w:rsidR="00423ED5" w:rsidRPr="00D806D9">
        <w:rPr>
          <w:rFonts w:asciiTheme="majorBidi" w:eastAsia="Times New Roman" w:hAnsiTheme="majorBidi" w:cstheme="majorBidi"/>
          <w:sz w:val="24"/>
          <w:szCs w:val="24"/>
          <w:lang w:val="en-US" w:eastAsia="fr-FR" w:bidi="he-IL"/>
        </w:rPr>
        <w:t>I</w:t>
      </w:r>
      <w:r w:rsidRPr="00D806D9">
        <w:rPr>
          <w:rFonts w:asciiTheme="majorBidi" w:eastAsia="Times New Roman" w:hAnsiTheme="majorBidi" w:cstheme="majorBidi"/>
          <w:sz w:val="24"/>
          <w:szCs w:val="24"/>
          <w:lang w:val="en-US" w:eastAsia="fr-FR" w:bidi="he-IL"/>
        </w:rPr>
        <w:t xml:space="preserve">nvestments for a </w:t>
      </w:r>
      <w:r w:rsidR="00423ED5" w:rsidRPr="00D806D9">
        <w:rPr>
          <w:rFonts w:asciiTheme="majorBidi" w:eastAsia="Times New Roman" w:hAnsiTheme="majorBidi" w:cstheme="majorBidi"/>
          <w:sz w:val="24"/>
          <w:szCs w:val="24"/>
          <w:lang w:val="en-US" w:eastAsia="fr-FR" w:bidi="he-IL"/>
        </w:rPr>
        <w:t>L</w:t>
      </w:r>
      <w:r w:rsidRPr="00D806D9">
        <w:rPr>
          <w:rFonts w:asciiTheme="majorBidi" w:eastAsia="Times New Roman" w:hAnsiTheme="majorBidi" w:cstheme="majorBidi"/>
          <w:sz w:val="24"/>
          <w:szCs w:val="24"/>
          <w:lang w:val="en-US" w:eastAsia="fr-FR" w:bidi="he-IL"/>
        </w:rPr>
        <w:t>ow-</w:t>
      </w:r>
      <w:r w:rsidR="00423ED5"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 xml:space="preserve">arbon </w:t>
      </w:r>
      <w:r w:rsidR="00423ED5" w:rsidRPr="00D806D9">
        <w:rPr>
          <w:rFonts w:asciiTheme="majorBidi" w:eastAsia="Times New Roman" w:hAnsiTheme="majorBidi" w:cstheme="majorBidi"/>
          <w:sz w:val="24"/>
          <w:szCs w:val="24"/>
          <w:lang w:val="en-US" w:eastAsia="fr-FR" w:bidi="he-IL"/>
        </w:rPr>
        <w:t>I</w:t>
      </w:r>
      <w:r w:rsidRPr="00D806D9">
        <w:rPr>
          <w:rFonts w:asciiTheme="majorBidi" w:eastAsia="Times New Roman" w:hAnsiTheme="majorBidi" w:cstheme="majorBidi"/>
          <w:sz w:val="24"/>
          <w:szCs w:val="24"/>
          <w:lang w:val="en-US" w:eastAsia="fr-FR" w:bidi="he-IL"/>
        </w:rPr>
        <w:t xml:space="preserve">ndustry?. </w:t>
      </w:r>
      <w:proofErr w:type="spellStart"/>
      <w:r w:rsidRPr="00D806D9">
        <w:rPr>
          <w:rFonts w:asciiTheme="majorBidi" w:eastAsia="Times New Roman" w:hAnsiTheme="majorBidi" w:cstheme="majorBidi"/>
          <w:i/>
          <w:iCs/>
          <w:sz w:val="24"/>
          <w:szCs w:val="24"/>
          <w:lang w:val="en-US" w:eastAsia="fr-FR" w:bidi="he-IL"/>
        </w:rPr>
        <w:t>IScience</w:t>
      </w:r>
      <w:proofErr w:type="spellEnd"/>
      <w:r w:rsidRPr="00D806D9">
        <w:rPr>
          <w:rFonts w:asciiTheme="majorBidi" w:eastAsia="Times New Roman" w:hAnsiTheme="majorBidi" w:cstheme="majorBidi"/>
          <w:sz w:val="24"/>
          <w:szCs w:val="24"/>
          <w:lang w:val="en-US" w:eastAsia="fr-FR" w:bidi="he-IL"/>
        </w:rPr>
        <w:t xml:space="preserve">, </w:t>
      </w:r>
      <w:r w:rsidRPr="00D806D9">
        <w:rPr>
          <w:rFonts w:asciiTheme="majorBidi" w:eastAsia="Times New Roman" w:hAnsiTheme="majorBidi" w:cstheme="majorBidi"/>
          <w:i/>
          <w:iCs/>
          <w:sz w:val="24"/>
          <w:szCs w:val="24"/>
          <w:lang w:val="en-US" w:eastAsia="fr-FR" w:bidi="he-IL"/>
        </w:rPr>
        <w:t>25</w:t>
      </w:r>
      <w:r w:rsidRPr="00D806D9">
        <w:rPr>
          <w:rFonts w:asciiTheme="majorBidi" w:eastAsia="Times New Roman" w:hAnsiTheme="majorBidi" w:cstheme="majorBidi"/>
          <w:sz w:val="24"/>
          <w:szCs w:val="24"/>
          <w:lang w:val="en-US" w:eastAsia="fr-FR" w:bidi="he-IL"/>
        </w:rPr>
        <w:t xml:space="preserve">, Article 104700. </w:t>
      </w:r>
      <w:hyperlink r:id="rId119" w:history="1">
        <w:r w:rsidRPr="00D806D9">
          <w:rPr>
            <w:rStyle w:val="Hyperlink"/>
            <w:rFonts w:asciiTheme="majorBidi" w:eastAsia="Times New Roman" w:hAnsiTheme="majorBidi" w:cstheme="majorBidi"/>
            <w:sz w:val="24"/>
            <w:szCs w:val="24"/>
            <w:lang w:val="en-US" w:eastAsia="fr-FR" w:bidi="he-IL"/>
          </w:rPr>
          <w:t>Link</w:t>
        </w:r>
      </w:hyperlink>
    </w:p>
    <w:p w14:paraId="2ACEB225" w14:textId="77777777" w:rsidR="00A56E8A" w:rsidRPr="00D806D9" w:rsidRDefault="00A56E8A"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6FFD28F1" w14:textId="180C96AB"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Sartor, O., &amp; Bataille, C. (2019). </w:t>
      </w:r>
      <w:r w:rsidRPr="00D806D9">
        <w:rPr>
          <w:rFonts w:asciiTheme="majorBidi" w:hAnsiTheme="majorBidi" w:cstheme="majorBidi"/>
          <w:i/>
          <w:iCs/>
          <w:sz w:val="24"/>
          <w:szCs w:val="24"/>
          <w:lang w:val="en-US"/>
        </w:rPr>
        <w:t xml:space="preserve">Decarbonising </w:t>
      </w:r>
      <w:r w:rsidR="008A1D09" w:rsidRPr="00D806D9">
        <w:rPr>
          <w:rFonts w:asciiTheme="majorBidi" w:hAnsiTheme="majorBidi" w:cstheme="majorBidi"/>
          <w:i/>
          <w:iCs/>
          <w:sz w:val="24"/>
          <w:szCs w:val="24"/>
          <w:lang w:val="en-US"/>
        </w:rPr>
        <w:t>B</w:t>
      </w:r>
      <w:r w:rsidRPr="00D806D9">
        <w:rPr>
          <w:rFonts w:asciiTheme="majorBidi" w:hAnsiTheme="majorBidi" w:cstheme="majorBidi"/>
          <w:i/>
          <w:iCs/>
          <w:sz w:val="24"/>
          <w:szCs w:val="24"/>
          <w:lang w:val="en-US"/>
        </w:rPr>
        <w:t xml:space="preserve">asic </w:t>
      </w:r>
      <w:r w:rsidR="008A1D09" w:rsidRPr="00D806D9">
        <w:rPr>
          <w:rFonts w:asciiTheme="majorBidi" w:hAnsiTheme="majorBidi" w:cstheme="majorBidi"/>
          <w:i/>
          <w:iCs/>
          <w:sz w:val="24"/>
          <w:szCs w:val="24"/>
          <w:lang w:val="en-US"/>
        </w:rPr>
        <w:t>M</w:t>
      </w:r>
      <w:r w:rsidRPr="00D806D9">
        <w:rPr>
          <w:rFonts w:asciiTheme="majorBidi" w:hAnsiTheme="majorBidi" w:cstheme="majorBidi"/>
          <w:i/>
          <w:iCs/>
          <w:sz w:val="24"/>
          <w:szCs w:val="24"/>
          <w:lang w:val="en-US"/>
        </w:rPr>
        <w:t>aterials in Europe: How Carbon Contracts-for-Difference Could Help Bring Breakthrough Technologies to Market</w:t>
      </w:r>
      <w:r w:rsidRPr="00D806D9">
        <w:rPr>
          <w:rFonts w:asciiTheme="majorBidi" w:hAnsiTheme="majorBidi" w:cstheme="majorBidi"/>
          <w:sz w:val="24"/>
          <w:szCs w:val="24"/>
          <w:lang w:val="en-US"/>
        </w:rPr>
        <w:t>. IDDRI / Institute for Sustainable Development and International Relations</w:t>
      </w:r>
      <w:r w:rsidR="008A1D09" w:rsidRPr="00D806D9">
        <w:rPr>
          <w:rFonts w:asciiTheme="majorBidi" w:hAnsiTheme="majorBidi" w:cstheme="majorBidi"/>
          <w:sz w:val="24"/>
          <w:szCs w:val="24"/>
          <w:lang w:val="en-US"/>
        </w:rPr>
        <w:t xml:space="preserve">, </w:t>
      </w:r>
      <w:r w:rsidRPr="00D806D9">
        <w:rPr>
          <w:rFonts w:asciiTheme="majorBidi" w:hAnsiTheme="majorBidi" w:cstheme="majorBidi"/>
          <w:sz w:val="24"/>
          <w:szCs w:val="24"/>
          <w:lang w:val="en-US"/>
        </w:rPr>
        <w:t xml:space="preserve">study 6, </w:t>
      </w:r>
      <w:proofErr w:type="spellStart"/>
      <w:r w:rsidRPr="00D806D9">
        <w:rPr>
          <w:rFonts w:asciiTheme="majorBidi" w:hAnsiTheme="majorBidi" w:cstheme="majorBidi"/>
          <w:sz w:val="24"/>
          <w:szCs w:val="24"/>
          <w:lang w:val="en-US"/>
        </w:rPr>
        <w:t>SciencesPo</w:t>
      </w:r>
      <w:proofErr w:type="spellEnd"/>
      <w:r w:rsidRPr="00D806D9">
        <w:rPr>
          <w:rFonts w:asciiTheme="majorBidi" w:hAnsiTheme="majorBidi" w:cstheme="majorBidi"/>
          <w:sz w:val="24"/>
          <w:szCs w:val="24"/>
          <w:lang w:val="en-US"/>
        </w:rPr>
        <w:t>.</w:t>
      </w:r>
      <w:r w:rsidR="00394665" w:rsidRPr="00D806D9">
        <w:rPr>
          <w:rFonts w:asciiTheme="majorBidi" w:hAnsiTheme="majorBidi" w:cstheme="majorBidi"/>
          <w:sz w:val="24"/>
          <w:szCs w:val="24"/>
          <w:lang w:val="en-US"/>
        </w:rPr>
        <w:t xml:space="preserve"> </w:t>
      </w:r>
      <w:hyperlink r:id="rId120" w:history="1">
        <w:r w:rsidR="00394665" w:rsidRPr="00D806D9">
          <w:rPr>
            <w:rStyle w:val="Hyperlink"/>
            <w:rFonts w:asciiTheme="majorBidi" w:hAnsiTheme="majorBidi" w:cstheme="majorBidi"/>
            <w:sz w:val="24"/>
            <w:szCs w:val="24"/>
            <w:lang w:val="en-US"/>
          </w:rPr>
          <w:t>Link</w:t>
        </w:r>
      </w:hyperlink>
    </w:p>
    <w:p w14:paraId="39980580"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5E188FF3" w14:textId="03CC431C"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Sato, M., </w:t>
      </w:r>
      <w:proofErr w:type="spellStart"/>
      <w:r w:rsidRPr="00D806D9">
        <w:rPr>
          <w:rFonts w:asciiTheme="majorBidi" w:hAnsiTheme="majorBidi" w:cstheme="majorBidi"/>
          <w:sz w:val="24"/>
          <w:szCs w:val="24"/>
          <w:lang w:val="en-US"/>
        </w:rPr>
        <w:t>Rafaty</w:t>
      </w:r>
      <w:proofErr w:type="spellEnd"/>
      <w:r w:rsidRPr="00D806D9">
        <w:rPr>
          <w:rFonts w:asciiTheme="majorBidi" w:hAnsiTheme="majorBidi" w:cstheme="majorBidi"/>
          <w:sz w:val="24"/>
          <w:szCs w:val="24"/>
          <w:lang w:val="en-US"/>
        </w:rPr>
        <w:t xml:space="preserve">, R., </w:t>
      </w:r>
      <w:proofErr w:type="spellStart"/>
      <w:r w:rsidRPr="00D806D9">
        <w:rPr>
          <w:rFonts w:asciiTheme="majorBidi" w:hAnsiTheme="majorBidi" w:cstheme="majorBidi"/>
          <w:sz w:val="24"/>
          <w:szCs w:val="24"/>
          <w:lang w:val="en-US"/>
        </w:rPr>
        <w:t>Calel</w:t>
      </w:r>
      <w:proofErr w:type="spellEnd"/>
      <w:r w:rsidRPr="00D806D9">
        <w:rPr>
          <w:rFonts w:asciiTheme="majorBidi" w:hAnsiTheme="majorBidi" w:cstheme="majorBidi"/>
          <w:sz w:val="24"/>
          <w:szCs w:val="24"/>
          <w:lang w:val="en-US"/>
        </w:rPr>
        <w:t xml:space="preserve">, R., &amp; Grubb, M. (2022). Allocation, allocation, allocation! The </w:t>
      </w:r>
      <w:r w:rsidR="005A1074"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olitical </w:t>
      </w:r>
      <w:r w:rsidR="005A1074"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conomy of the </w:t>
      </w:r>
      <w:r w:rsidR="005A1074" w:rsidRPr="00D806D9">
        <w:rPr>
          <w:rFonts w:asciiTheme="majorBidi" w:hAnsiTheme="majorBidi" w:cstheme="majorBidi"/>
          <w:sz w:val="24"/>
          <w:szCs w:val="24"/>
          <w:lang w:val="en-US"/>
        </w:rPr>
        <w:t>D</w:t>
      </w:r>
      <w:r w:rsidRPr="00D806D9">
        <w:rPr>
          <w:rFonts w:asciiTheme="majorBidi" w:hAnsiTheme="majorBidi" w:cstheme="majorBidi"/>
          <w:sz w:val="24"/>
          <w:szCs w:val="24"/>
          <w:lang w:val="en-US"/>
        </w:rPr>
        <w:t xml:space="preserve">evelopment of the European Union Emissions Trading System. </w:t>
      </w:r>
      <w:r w:rsidRPr="00D806D9">
        <w:rPr>
          <w:rFonts w:asciiTheme="majorBidi" w:hAnsiTheme="majorBidi" w:cstheme="majorBidi"/>
          <w:i/>
          <w:iCs/>
          <w:sz w:val="24"/>
          <w:szCs w:val="24"/>
          <w:lang w:val="en-US"/>
        </w:rPr>
        <w:t>WIREs Climate Change</w:t>
      </w:r>
      <w:r w:rsidRPr="00D806D9">
        <w:rPr>
          <w:rFonts w:asciiTheme="majorBidi" w:hAnsiTheme="majorBidi" w:cstheme="majorBidi"/>
          <w:sz w:val="24"/>
          <w:szCs w:val="24"/>
          <w:lang w:val="en-US"/>
        </w:rPr>
        <w:t xml:space="preserve">. </w:t>
      </w:r>
      <w:hyperlink r:id="rId121" w:history="1">
        <w:r w:rsidRPr="00D806D9">
          <w:rPr>
            <w:rStyle w:val="Hyperlink"/>
            <w:rFonts w:asciiTheme="majorBidi" w:hAnsiTheme="majorBidi" w:cstheme="majorBidi"/>
            <w:sz w:val="24"/>
            <w:szCs w:val="24"/>
            <w:lang w:val="en-US"/>
          </w:rPr>
          <w:t>Link</w:t>
        </w:r>
      </w:hyperlink>
    </w:p>
    <w:p w14:paraId="647E4159"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6F57346B" w14:textId="35FAB948" w:rsidR="00E60725"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Sijm</w:t>
      </w:r>
      <w:proofErr w:type="spellEnd"/>
      <w:r w:rsidRPr="00D806D9">
        <w:rPr>
          <w:rFonts w:asciiTheme="majorBidi" w:hAnsiTheme="majorBidi" w:cstheme="majorBidi"/>
          <w:sz w:val="24"/>
          <w:szCs w:val="24"/>
          <w:lang w:val="en-US"/>
        </w:rPr>
        <w:t xml:space="preserve">, J. (2005). The interaction between the EU Emissions Trading Scheme and national energy policies. </w:t>
      </w:r>
      <w:r w:rsidRPr="00D806D9">
        <w:rPr>
          <w:rFonts w:asciiTheme="majorBidi" w:hAnsiTheme="majorBidi" w:cstheme="majorBidi"/>
          <w:i/>
          <w:iCs/>
          <w:sz w:val="24"/>
          <w:szCs w:val="24"/>
          <w:lang w:val="en-US"/>
        </w:rPr>
        <w:t>Climate Policy</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5</w:t>
      </w:r>
      <w:r w:rsidR="00726FEE" w:rsidRPr="00D806D9">
        <w:rPr>
          <w:rFonts w:asciiTheme="majorBidi" w:hAnsiTheme="majorBidi" w:cstheme="majorBidi"/>
          <w:sz w:val="24"/>
          <w:szCs w:val="24"/>
          <w:lang w:val="en-US"/>
        </w:rPr>
        <w:t>(1)</w:t>
      </w:r>
      <w:r w:rsidRPr="00D806D9">
        <w:rPr>
          <w:rFonts w:asciiTheme="majorBidi" w:hAnsiTheme="majorBidi" w:cstheme="majorBidi"/>
          <w:sz w:val="24"/>
          <w:szCs w:val="24"/>
          <w:lang w:val="en-US"/>
        </w:rPr>
        <w:t>, 79-96.</w:t>
      </w:r>
      <w:r w:rsidR="000830F9" w:rsidRPr="00D806D9">
        <w:rPr>
          <w:rFonts w:asciiTheme="majorBidi" w:hAnsiTheme="majorBidi" w:cstheme="majorBidi"/>
          <w:sz w:val="24"/>
          <w:szCs w:val="24"/>
          <w:lang w:val="en-US"/>
        </w:rPr>
        <w:t xml:space="preserve"> </w:t>
      </w:r>
      <w:hyperlink r:id="rId122" w:history="1">
        <w:r w:rsidR="000830F9" w:rsidRPr="00D806D9">
          <w:rPr>
            <w:rStyle w:val="Hyperlink"/>
            <w:rFonts w:asciiTheme="majorBidi" w:hAnsiTheme="majorBidi" w:cstheme="majorBidi"/>
            <w:sz w:val="24"/>
            <w:szCs w:val="24"/>
            <w:lang w:val="en-US"/>
          </w:rPr>
          <w:t>Link</w:t>
        </w:r>
      </w:hyperlink>
    </w:p>
    <w:p w14:paraId="73CC1788"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7F82D039" w14:textId="77AFB304" w:rsidR="00E60725" w:rsidRPr="00397B73" w:rsidRDefault="00E60725" w:rsidP="00003440">
      <w:pPr>
        <w:autoSpaceDE w:val="0"/>
        <w:autoSpaceDN w:val="0"/>
        <w:adjustRightInd w:val="0"/>
        <w:spacing w:after="0" w:line="240" w:lineRule="auto"/>
        <w:jc w:val="both"/>
        <w:rPr>
          <w:rStyle w:val="Hyperlink"/>
          <w:rFonts w:asciiTheme="majorBidi" w:hAnsiTheme="majorBidi" w:cstheme="majorBidi"/>
          <w:sz w:val="24"/>
          <w:szCs w:val="24"/>
        </w:rPr>
      </w:pPr>
      <w:proofErr w:type="spellStart"/>
      <w:r w:rsidRPr="00D806D9">
        <w:rPr>
          <w:rFonts w:asciiTheme="majorBidi" w:hAnsiTheme="majorBidi" w:cstheme="majorBidi"/>
          <w:sz w:val="24"/>
          <w:szCs w:val="24"/>
          <w:lang w:val="en-US"/>
        </w:rPr>
        <w:t>Skjærseth</w:t>
      </w:r>
      <w:proofErr w:type="spellEnd"/>
      <w:r w:rsidRPr="00D806D9">
        <w:rPr>
          <w:rFonts w:asciiTheme="majorBidi" w:hAnsiTheme="majorBidi" w:cstheme="majorBidi"/>
          <w:sz w:val="24"/>
          <w:szCs w:val="24"/>
          <w:lang w:val="en-US"/>
        </w:rPr>
        <w:t xml:space="preserve">, J. B., &amp; </w:t>
      </w:r>
      <w:proofErr w:type="spellStart"/>
      <w:r w:rsidRPr="00D806D9">
        <w:rPr>
          <w:rFonts w:asciiTheme="majorBidi" w:hAnsiTheme="majorBidi" w:cstheme="majorBidi"/>
          <w:sz w:val="24"/>
          <w:szCs w:val="24"/>
          <w:lang w:val="en-US"/>
        </w:rPr>
        <w:t>Wettestad</w:t>
      </w:r>
      <w:proofErr w:type="spellEnd"/>
      <w:r w:rsidRPr="00D806D9">
        <w:rPr>
          <w:rFonts w:asciiTheme="majorBidi" w:hAnsiTheme="majorBidi" w:cstheme="majorBidi"/>
          <w:sz w:val="24"/>
          <w:szCs w:val="24"/>
          <w:lang w:val="en-US"/>
        </w:rPr>
        <w:t xml:space="preserve">, J. (2009). The Origin, Evolution and Consequences of the EU Emissions Trading System. </w:t>
      </w:r>
      <w:hyperlink r:id="rId123" w:history="1">
        <w:r w:rsidRPr="00397B73">
          <w:rPr>
            <w:rFonts w:asciiTheme="majorBidi" w:hAnsiTheme="majorBidi" w:cstheme="majorBidi"/>
            <w:i/>
            <w:iCs/>
            <w:sz w:val="24"/>
            <w:szCs w:val="24"/>
          </w:rPr>
          <w:t xml:space="preserve">Global </w:t>
        </w:r>
        <w:proofErr w:type="spellStart"/>
        <w:r w:rsidRPr="00397B73">
          <w:rPr>
            <w:rFonts w:asciiTheme="majorBidi" w:hAnsiTheme="majorBidi" w:cstheme="majorBidi"/>
            <w:i/>
            <w:iCs/>
            <w:sz w:val="24"/>
            <w:szCs w:val="24"/>
          </w:rPr>
          <w:t>Environmental</w:t>
        </w:r>
        <w:proofErr w:type="spellEnd"/>
        <w:r w:rsidRPr="00397B73">
          <w:rPr>
            <w:rFonts w:asciiTheme="majorBidi" w:hAnsiTheme="majorBidi" w:cstheme="majorBidi"/>
            <w:i/>
            <w:iCs/>
            <w:sz w:val="24"/>
            <w:szCs w:val="24"/>
          </w:rPr>
          <w:t xml:space="preserve"> </w:t>
        </w:r>
        <w:proofErr w:type="spellStart"/>
        <w:r w:rsidRPr="00397B73">
          <w:rPr>
            <w:rFonts w:asciiTheme="majorBidi" w:hAnsiTheme="majorBidi" w:cstheme="majorBidi"/>
            <w:i/>
            <w:iCs/>
            <w:sz w:val="24"/>
            <w:szCs w:val="24"/>
          </w:rPr>
          <w:t>Politics</w:t>
        </w:r>
        <w:proofErr w:type="spellEnd"/>
      </w:hyperlink>
      <w:r w:rsidRPr="00397B73">
        <w:rPr>
          <w:rFonts w:asciiTheme="majorBidi" w:hAnsiTheme="majorBidi" w:cstheme="majorBidi"/>
          <w:sz w:val="24"/>
          <w:szCs w:val="24"/>
        </w:rPr>
        <w:t>,</w:t>
      </w:r>
      <w:r w:rsidRPr="00397B73">
        <w:rPr>
          <w:rFonts w:asciiTheme="majorBidi" w:hAnsiTheme="majorBidi" w:cstheme="majorBidi"/>
          <w:i/>
          <w:iCs/>
          <w:sz w:val="24"/>
          <w:szCs w:val="24"/>
        </w:rPr>
        <w:t> 9</w:t>
      </w:r>
      <w:r w:rsidRPr="00397B73">
        <w:rPr>
          <w:rFonts w:asciiTheme="majorBidi" w:hAnsiTheme="majorBidi" w:cstheme="majorBidi"/>
          <w:sz w:val="24"/>
          <w:szCs w:val="24"/>
        </w:rPr>
        <w:t xml:space="preserve">(2), 101-122. </w:t>
      </w:r>
      <w:hyperlink r:id="rId124" w:history="1">
        <w:r w:rsidRPr="00397B73">
          <w:rPr>
            <w:rStyle w:val="Hyperlink"/>
            <w:rFonts w:asciiTheme="majorBidi" w:hAnsiTheme="majorBidi" w:cstheme="majorBidi"/>
            <w:sz w:val="24"/>
            <w:szCs w:val="24"/>
          </w:rPr>
          <w:t>Link</w:t>
        </w:r>
      </w:hyperlink>
    </w:p>
    <w:p w14:paraId="2A738EF9" w14:textId="77777777" w:rsidR="00A56E8A" w:rsidRPr="00397B73" w:rsidRDefault="00A56E8A" w:rsidP="00003440">
      <w:pPr>
        <w:autoSpaceDE w:val="0"/>
        <w:autoSpaceDN w:val="0"/>
        <w:adjustRightInd w:val="0"/>
        <w:spacing w:after="0" w:line="240" w:lineRule="auto"/>
        <w:jc w:val="both"/>
        <w:rPr>
          <w:rFonts w:asciiTheme="majorBidi" w:hAnsiTheme="majorBidi" w:cstheme="majorBidi"/>
          <w:sz w:val="24"/>
          <w:szCs w:val="24"/>
        </w:rPr>
      </w:pPr>
    </w:p>
    <w:p w14:paraId="587B1583" w14:textId="2E40BD4D" w:rsidR="00E60725" w:rsidRPr="00397B73" w:rsidRDefault="00E60725" w:rsidP="00003440">
      <w:pPr>
        <w:pStyle w:val="FootnoteText"/>
        <w:jc w:val="both"/>
        <w:rPr>
          <w:rFonts w:asciiTheme="majorBidi" w:hAnsiTheme="majorBidi" w:cstheme="majorBidi"/>
          <w:sz w:val="24"/>
          <w:szCs w:val="24"/>
        </w:rPr>
      </w:pPr>
      <w:proofErr w:type="spellStart"/>
      <w:r w:rsidRPr="00397B73">
        <w:rPr>
          <w:rFonts w:asciiTheme="majorBidi" w:hAnsiTheme="majorBidi" w:cstheme="majorBidi"/>
          <w:sz w:val="24"/>
          <w:szCs w:val="24"/>
        </w:rPr>
        <w:t>Sorrell</w:t>
      </w:r>
      <w:proofErr w:type="spellEnd"/>
      <w:r w:rsidRPr="00397B73">
        <w:rPr>
          <w:rFonts w:asciiTheme="majorBidi" w:hAnsiTheme="majorBidi" w:cstheme="majorBidi"/>
          <w:sz w:val="24"/>
          <w:szCs w:val="24"/>
        </w:rPr>
        <w:t xml:space="preserve">, S., &amp; </w:t>
      </w:r>
      <w:proofErr w:type="spellStart"/>
      <w:r w:rsidRPr="00397B73">
        <w:rPr>
          <w:rFonts w:asciiTheme="majorBidi" w:hAnsiTheme="majorBidi" w:cstheme="majorBidi"/>
          <w:sz w:val="24"/>
          <w:szCs w:val="24"/>
        </w:rPr>
        <w:t>Skea</w:t>
      </w:r>
      <w:proofErr w:type="spellEnd"/>
      <w:r w:rsidRPr="00397B73">
        <w:rPr>
          <w:rFonts w:asciiTheme="majorBidi" w:hAnsiTheme="majorBidi" w:cstheme="majorBidi"/>
          <w:sz w:val="24"/>
          <w:szCs w:val="24"/>
        </w:rPr>
        <w:t xml:space="preserve"> J. (1999). </w:t>
      </w:r>
      <w:r w:rsidRPr="00397B73">
        <w:rPr>
          <w:rFonts w:asciiTheme="majorBidi" w:hAnsiTheme="majorBidi" w:cstheme="majorBidi"/>
          <w:i/>
          <w:iCs/>
          <w:sz w:val="24"/>
          <w:szCs w:val="24"/>
        </w:rPr>
        <w:t xml:space="preserve">Pollution for sale: </w:t>
      </w:r>
      <w:proofErr w:type="spellStart"/>
      <w:r w:rsidRPr="00397B73">
        <w:rPr>
          <w:rFonts w:asciiTheme="majorBidi" w:hAnsiTheme="majorBidi" w:cstheme="majorBidi"/>
          <w:i/>
          <w:iCs/>
          <w:sz w:val="24"/>
          <w:szCs w:val="24"/>
        </w:rPr>
        <w:t>emissions</w:t>
      </w:r>
      <w:proofErr w:type="spellEnd"/>
      <w:r w:rsidRPr="00397B73">
        <w:rPr>
          <w:rFonts w:asciiTheme="majorBidi" w:hAnsiTheme="majorBidi" w:cstheme="majorBidi"/>
          <w:i/>
          <w:iCs/>
          <w:sz w:val="24"/>
          <w:szCs w:val="24"/>
        </w:rPr>
        <w:t xml:space="preserve"> trading and joint </w:t>
      </w:r>
      <w:proofErr w:type="spellStart"/>
      <w:r w:rsidRPr="00397B73">
        <w:rPr>
          <w:rFonts w:asciiTheme="majorBidi" w:hAnsiTheme="majorBidi" w:cstheme="majorBidi"/>
          <w:i/>
          <w:iCs/>
          <w:sz w:val="24"/>
          <w:szCs w:val="24"/>
        </w:rPr>
        <w:t>implementation</w:t>
      </w:r>
      <w:proofErr w:type="spellEnd"/>
      <w:r w:rsidRPr="00397B73">
        <w:rPr>
          <w:rFonts w:asciiTheme="majorBidi" w:hAnsiTheme="majorBidi" w:cstheme="majorBidi"/>
          <w:sz w:val="24"/>
          <w:szCs w:val="24"/>
        </w:rPr>
        <w:t>. Edward Elgar, Northampton</w:t>
      </w:r>
    </w:p>
    <w:p w14:paraId="04AAFA75" w14:textId="77777777" w:rsidR="00A56E8A" w:rsidRPr="00397B73" w:rsidRDefault="00A56E8A" w:rsidP="00003440">
      <w:pPr>
        <w:pStyle w:val="FootnoteText"/>
        <w:jc w:val="both"/>
        <w:rPr>
          <w:rFonts w:asciiTheme="majorBidi" w:hAnsiTheme="majorBidi" w:cstheme="majorBidi"/>
          <w:sz w:val="24"/>
          <w:szCs w:val="24"/>
        </w:rPr>
      </w:pPr>
    </w:p>
    <w:p w14:paraId="04F537B5" w14:textId="2E5718EC" w:rsidR="00E60725" w:rsidRPr="00D806D9" w:rsidRDefault="00E60725" w:rsidP="00003440">
      <w:pPr>
        <w:autoSpaceDE w:val="0"/>
        <w:autoSpaceDN w:val="0"/>
        <w:adjustRightInd w:val="0"/>
        <w:spacing w:after="0" w:line="240" w:lineRule="auto"/>
        <w:jc w:val="both"/>
        <w:rPr>
          <w:rStyle w:val="Hyperlink"/>
          <w:rFonts w:asciiTheme="majorBidi" w:hAnsiTheme="majorBidi" w:cstheme="majorBidi"/>
          <w:sz w:val="24"/>
          <w:szCs w:val="24"/>
          <w:lang w:val="en-US"/>
        </w:rPr>
      </w:pPr>
      <w:r w:rsidRPr="00397B73">
        <w:rPr>
          <w:rFonts w:asciiTheme="majorBidi" w:hAnsiTheme="majorBidi" w:cstheme="majorBidi"/>
          <w:sz w:val="24"/>
          <w:szCs w:val="24"/>
        </w:rPr>
        <w:t xml:space="preserve">Stigler, G. J. (1971). </w:t>
      </w:r>
      <w:r w:rsidRPr="00D806D9">
        <w:rPr>
          <w:rFonts w:asciiTheme="majorBidi" w:hAnsiTheme="majorBidi" w:cstheme="majorBidi"/>
          <w:sz w:val="24"/>
          <w:szCs w:val="24"/>
          <w:lang w:val="en-US"/>
        </w:rPr>
        <w:t xml:space="preserve">The Theory of Economic Regulation. </w:t>
      </w:r>
      <w:r w:rsidRPr="00D806D9">
        <w:rPr>
          <w:rFonts w:asciiTheme="majorBidi" w:hAnsiTheme="majorBidi" w:cstheme="majorBidi"/>
          <w:i/>
          <w:iCs/>
          <w:sz w:val="24"/>
          <w:szCs w:val="24"/>
          <w:lang w:val="en-US"/>
        </w:rPr>
        <w:t>The Bell Journal of Economics and Management Science</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2</w:t>
      </w:r>
      <w:r w:rsidRPr="00D806D9">
        <w:rPr>
          <w:rFonts w:asciiTheme="majorBidi" w:hAnsiTheme="majorBidi" w:cstheme="majorBidi"/>
          <w:sz w:val="24"/>
          <w:szCs w:val="24"/>
          <w:lang w:val="en-US"/>
        </w:rPr>
        <w:t xml:space="preserve">(1), 3-21. </w:t>
      </w:r>
      <w:hyperlink r:id="rId125" w:history="1">
        <w:r w:rsidRPr="00D806D9">
          <w:rPr>
            <w:rStyle w:val="Hyperlink"/>
            <w:rFonts w:asciiTheme="majorBidi" w:hAnsiTheme="majorBidi" w:cstheme="majorBidi"/>
            <w:sz w:val="24"/>
            <w:szCs w:val="24"/>
            <w:lang w:val="en-US"/>
          </w:rPr>
          <w:t>Link</w:t>
        </w:r>
      </w:hyperlink>
    </w:p>
    <w:p w14:paraId="5E63D4F9" w14:textId="77777777" w:rsidR="00A56E8A" w:rsidRPr="00D806D9" w:rsidRDefault="00A56E8A" w:rsidP="00003440">
      <w:pPr>
        <w:autoSpaceDE w:val="0"/>
        <w:autoSpaceDN w:val="0"/>
        <w:adjustRightInd w:val="0"/>
        <w:spacing w:after="0" w:line="240" w:lineRule="auto"/>
        <w:jc w:val="both"/>
        <w:rPr>
          <w:rFonts w:asciiTheme="majorBidi" w:hAnsiTheme="majorBidi" w:cstheme="majorBidi"/>
          <w:sz w:val="24"/>
          <w:szCs w:val="24"/>
          <w:lang w:val="en-US"/>
        </w:rPr>
      </w:pPr>
    </w:p>
    <w:p w14:paraId="4E66CA8F" w14:textId="314C4DE3" w:rsidR="00E60725" w:rsidRPr="00D806D9" w:rsidRDefault="00E60725" w:rsidP="00003440">
      <w:pPr>
        <w:pStyle w:val="FootnoteText"/>
        <w:jc w:val="both"/>
        <w:rPr>
          <w:rStyle w:val="Hyperlink"/>
          <w:rFonts w:asciiTheme="majorBidi" w:hAnsiTheme="majorBidi" w:cstheme="majorBidi"/>
          <w:color w:val="0C7DBB"/>
          <w:sz w:val="24"/>
          <w:szCs w:val="24"/>
          <w:lang w:val="en-US"/>
        </w:rPr>
      </w:pPr>
      <w:bookmarkStart w:id="37" w:name="_Hlk110966638"/>
      <w:proofErr w:type="spellStart"/>
      <w:r w:rsidRPr="00D806D9">
        <w:rPr>
          <w:rFonts w:asciiTheme="majorBidi" w:hAnsiTheme="majorBidi" w:cstheme="majorBidi"/>
          <w:sz w:val="24"/>
          <w:szCs w:val="24"/>
          <w:lang w:val="en-US"/>
        </w:rPr>
        <w:t>Teixidó</w:t>
      </w:r>
      <w:bookmarkEnd w:id="37"/>
      <w:proofErr w:type="spellEnd"/>
      <w:r w:rsidRPr="00D806D9">
        <w:rPr>
          <w:rFonts w:asciiTheme="majorBidi" w:hAnsiTheme="majorBidi" w:cstheme="majorBidi"/>
          <w:sz w:val="24"/>
          <w:szCs w:val="24"/>
          <w:lang w:val="en-US"/>
        </w:rPr>
        <w:t xml:space="preserve">, J., Verde, S. F., &amp; </w:t>
      </w:r>
      <w:proofErr w:type="spellStart"/>
      <w:r w:rsidRPr="00D806D9">
        <w:rPr>
          <w:rFonts w:asciiTheme="majorBidi" w:hAnsiTheme="majorBidi" w:cstheme="majorBidi"/>
          <w:sz w:val="24"/>
          <w:szCs w:val="24"/>
          <w:lang w:val="en-US"/>
        </w:rPr>
        <w:t>Nicolli</w:t>
      </w:r>
      <w:proofErr w:type="spellEnd"/>
      <w:r w:rsidRPr="00D806D9">
        <w:rPr>
          <w:rFonts w:asciiTheme="majorBidi" w:hAnsiTheme="majorBidi" w:cstheme="majorBidi"/>
          <w:sz w:val="24"/>
          <w:szCs w:val="24"/>
          <w:lang w:val="en-US"/>
        </w:rPr>
        <w:t xml:space="preserve">, F. (2019). The </w:t>
      </w:r>
      <w:r w:rsidR="00726FEE" w:rsidRPr="00D806D9">
        <w:rPr>
          <w:rFonts w:asciiTheme="majorBidi" w:hAnsiTheme="majorBidi" w:cstheme="majorBidi"/>
          <w:sz w:val="24"/>
          <w:szCs w:val="24"/>
          <w:lang w:val="en-US"/>
        </w:rPr>
        <w:t>I</w:t>
      </w:r>
      <w:r w:rsidRPr="00D806D9">
        <w:rPr>
          <w:rFonts w:asciiTheme="majorBidi" w:hAnsiTheme="majorBidi" w:cstheme="majorBidi"/>
          <w:sz w:val="24"/>
          <w:szCs w:val="24"/>
          <w:lang w:val="en-US"/>
        </w:rPr>
        <w:t xml:space="preserve">mpact of the EU Emissions Trading System on </w:t>
      </w:r>
      <w:r w:rsidR="00726FEE" w:rsidRPr="00D806D9">
        <w:rPr>
          <w:rFonts w:asciiTheme="majorBidi" w:hAnsiTheme="majorBidi" w:cstheme="majorBidi"/>
          <w:sz w:val="24"/>
          <w:szCs w:val="24"/>
          <w:lang w:val="en-US"/>
        </w:rPr>
        <w:t>L</w:t>
      </w:r>
      <w:r w:rsidRPr="00D806D9">
        <w:rPr>
          <w:rFonts w:asciiTheme="majorBidi" w:hAnsiTheme="majorBidi" w:cstheme="majorBidi"/>
          <w:sz w:val="24"/>
          <w:szCs w:val="24"/>
          <w:lang w:val="en-US"/>
        </w:rPr>
        <w:t>ow-</w:t>
      </w:r>
      <w:r w:rsidR="00726FEE"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arbon </w:t>
      </w:r>
      <w:r w:rsidR="00726FEE"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echnological </w:t>
      </w:r>
      <w:r w:rsidR="00726FEE" w:rsidRPr="00D806D9">
        <w:rPr>
          <w:rFonts w:asciiTheme="majorBidi" w:hAnsiTheme="majorBidi" w:cstheme="majorBidi"/>
          <w:sz w:val="24"/>
          <w:szCs w:val="24"/>
          <w:lang w:val="en-US"/>
        </w:rPr>
        <w:t>C</w:t>
      </w:r>
      <w:r w:rsidRPr="00D806D9">
        <w:rPr>
          <w:rFonts w:asciiTheme="majorBidi" w:hAnsiTheme="majorBidi" w:cstheme="majorBidi"/>
          <w:sz w:val="24"/>
          <w:szCs w:val="24"/>
          <w:lang w:val="en-US"/>
        </w:rPr>
        <w:t xml:space="preserve">hange: The </w:t>
      </w:r>
      <w:r w:rsidR="00726FEE"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mpirical </w:t>
      </w:r>
      <w:r w:rsidR="00726FEE"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vidence. </w:t>
      </w:r>
      <w:r w:rsidRPr="00D806D9">
        <w:rPr>
          <w:rFonts w:asciiTheme="majorBidi" w:hAnsiTheme="majorBidi" w:cstheme="majorBidi"/>
          <w:i/>
          <w:iCs/>
          <w:sz w:val="24"/>
          <w:szCs w:val="24"/>
          <w:lang w:val="en-US"/>
        </w:rPr>
        <w:t>Ecological economics</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164</w:t>
      </w:r>
      <w:r w:rsidRPr="00D806D9">
        <w:rPr>
          <w:rFonts w:asciiTheme="majorBidi" w:hAnsiTheme="majorBidi" w:cstheme="majorBidi"/>
          <w:sz w:val="24"/>
          <w:szCs w:val="24"/>
          <w:lang w:val="en-US"/>
        </w:rPr>
        <w:t xml:space="preserve">, Article 106347. </w:t>
      </w:r>
      <w:hyperlink r:id="rId126" w:history="1">
        <w:r w:rsidR="0060555B" w:rsidRPr="00D806D9">
          <w:rPr>
            <w:rStyle w:val="Hyperlink"/>
            <w:rFonts w:asciiTheme="majorBidi" w:hAnsiTheme="majorBidi" w:cstheme="majorBidi"/>
            <w:sz w:val="24"/>
            <w:szCs w:val="24"/>
            <w:lang w:val="en-US"/>
          </w:rPr>
          <w:t>Link</w:t>
        </w:r>
      </w:hyperlink>
    </w:p>
    <w:p w14:paraId="6C33571B" w14:textId="77777777" w:rsidR="00A56E8A" w:rsidRPr="00D806D9" w:rsidRDefault="00A56E8A" w:rsidP="00003440">
      <w:pPr>
        <w:pStyle w:val="FootnoteText"/>
        <w:jc w:val="both"/>
        <w:rPr>
          <w:rFonts w:asciiTheme="majorBidi" w:hAnsiTheme="majorBidi" w:cstheme="majorBidi"/>
          <w:sz w:val="24"/>
          <w:szCs w:val="24"/>
          <w:lang w:val="en-US"/>
        </w:rPr>
      </w:pPr>
    </w:p>
    <w:p w14:paraId="5875A571" w14:textId="151C4607" w:rsidR="00E60725" w:rsidRPr="00D806D9" w:rsidRDefault="00E60725" w:rsidP="00003440">
      <w:pPr>
        <w:autoSpaceDE w:val="0"/>
        <w:autoSpaceDN w:val="0"/>
        <w:adjustRightInd w:val="0"/>
        <w:spacing w:after="0" w:line="240" w:lineRule="auto"/>
        <w:jc w:val="both"/>
        <w:rPr>
          <w:rStyle w:val="Hyperlink"/>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Thaler, P., &amp; Hofmann, B. (2022). The </w:t>
      </w:r>
      <w:r w:rsidR="008A5280" w:rsidRPr="00D806D9">
        <w:rPr>
          <w:rFonts w:asciiTheme="majorBidi" w:eastAsia="Times New Roman" w:hAnsiTheme="majorBidi" w:cstheme="majorBidi"/>
          <w:sz w:val="24"/>
          <w:szCs w:val="24"/>
          <w:lang w:val="en-US" w:eastAsia="fr-FR" w:bidi="he-IL"/>
        </w:rPr>
        <w:t>I</w:t>
      </w:r>
      <w:r w:rsidRPr="00D806D9">
        <w:rPr>
          <w:rFonts w:asciiTheme="majorBidi" w:eastAsia="Times New Roman" w:hAnsiTheme="majorBidi" w:cstheme="majorBidi"/>
          <w:sz w:val="24"/>
          <w:szCs w:val="24"/>
          <w:lang w:val="en-US" w:eastAsia="fr-FR" w:bidi="he-IL"/>
        </w:rPr>
        <w:t xml:space="preserve">mpossible </w:t>
      </w:r>
      <w:r w:rsidR="008A5280" w:rsidRPr="00D806D9">
        <w:rPr>
          <w:rFonts w:asciiTheme="majorBidi" w:eastAsia="Times New Roman" w:hAnsiTheme="majorBidi" w:cstheme="majorBidi"/>
          <w:sz w:val="24"/>
          <w:szCs w:val="24"/>
          <w:lang w:val="en-US" w:eastAsia="fr-FR" w:bidi="he-IL"/>
        </w:rPr>
        <w:t>E</w:t>
      </w:r>
      <w:r w:rsidRPr="00D806D9">
        <w:rPr>
          <w:rFonts w:asciiTheme="majorBidi" w:eastAsia="Times New Roman" w:hAnsiTheme="majorBidi" w:cstheme="majorBidi"/>
          <w:sz w:val="24"/>
          <w:szCs w:val="24"/>
          <w:lang w:val="en-US" w:eastAsia="fr-FR" w:bidi="he-IL"/>
        </w:rPr>
        <w:t xml:space="preserve">nergy </w:t>
      </w:r>
      <w:r w:rsidR="008A5280" w:rsidRPr="00D806D9">
        <w:rPr>
          <w:rFonts w:asciiTheme="majorBidi" w:eastAsia="Times New Roman" w:hAnsiTheme="majorBidi" w:cstheme="majorBidi"/>
          <w:sz w:val="24"/>
          <w:szCs w:val="24"/>
          <w:lang w:val="en-US" w:eastAsia="fr-FR" w:bidi="he-IL"/>
        </w:rPr>
        <w:t>T</w:t>
      </w:r>
      <w:r w:rsidRPr="00D806D9">
        <w:rPr>
          <w:rFonts w:asciiTheme="majorBidi" w:eastAsia="Times New Roman" w:hAnsiTheme="majorBidi" w:cstheme="majorBidi"/>
          <w:sz w:val="24"/>
          <w:szCs w:val="24"/>
          <w:lang w:val="en-US" w:eastAsia="fr-FR" w:bidi="he-IL"/>
        </w:rPr>
        <w:t xml:space="preserve">rinity: Energy </w:t>
      </w:r>
      <w:r w:rsidR="008A5280" w:rsidRPr="00D806D9">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ecurity, </w:t>
      </w:r>
      <w:r w:rsidR="008A5280" w:rsidRPr="00D806D9">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ustainability, and </w:t>
      </w:r>
      <w:r w:rsidR="008A5280" w:rsidRPr="00D806D9">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overeignty in </w:t>
      </w:r>
      <w:r w:rsidR="008A5280" w:rsidRPr="00D806D9">
        <w:rPr>
          <w:rFonts w:asciiTheme="majorBidi" w:eastAsia="Times New Roman" w:hAnsiTheme="majorBidi" w:cstheme="majorBidi"/>
          <w:sz w:val="24"/>
          <w:szCs w:val="24"/>
          <w:lang w:val="en-US" w:eastAsia="fr-FR" w:bidi="he-IL"/>
        </w:rPr>
        <w:t>C</w:t>
      </w:r>
      <w:r w:rsidRPr="00D806D9">
        <w:rPr>
          <w:rFonts w:asciiTheme="majorBidi" w:eastAsia="Times New Roman" w:hAnsiTheme="majorBidi" w:cstheme="majorBidi"/>
          <w:sz w:val="24"/>
          <w:szCs w:val="24"/>
          <w:lang w:val="en-US" w:eastAsia="fr-FR" w:bidi="he-IL"/>
        </w:rPr>
        <w:t>ross-</w:t>
      </w:r>
      <w:r w:rsidR="008A5280" w:rsidRPr="00D806D9">
        <w:rPr>
          <w:rFonts w:asciiTheme="majorBidi" w:eastAsia="Times New Roman" w:hAnsiTheme="majorBidi" w:cstheme="majorBidi"/>
          <w:sz w:val="24"/>
          <w:szCs w:val="24"/>
          <w:lang w:val="en-US" w:eastAsia="fr-FR" w:bidi="he-IL"/>
        </w:rPr>
        <w:t>B</w:t>
      </w:r>
      <w:r w:rsidRPr="00D806D9">
        <w:rPr>
          <w:rFonts w:asciiTheme="majorBidi" w:eastAsia="Times New Roman" w:hAnsiTheme="majorBidi" w:cstheme="majorBidi"/>
          <w:sz w:val="24"/>
          <w:szCs w:val="24"/>
          <w:lang w:val="en-US" w:eastAsia="fr-FR" w:bidi="he-IL"/>
        </w:rPr>
        <w:t xml:space="preserve">order </w:t>
      </w:r>
      <w:r w:rsidR="008A5280" w:rsidRPr="00D806D9">
        <w:rPr>
          <w:rFonts w:asciiTheme="majorBidi" w:eastAsia="Times New Roman" w:hAnsiTheme="majorBidi" w:cstheme="majorBidi"/>
          <w:sz w:val="24"/>
          <w:szCs w:val="24"/>
          <w:lang w:val="en-US" w:eastAsia="fr-FR" w:bidi="he-IL"/>
        </w:rPr>
        <w:t>E</w:t>
      </w:r>
      <w:r w:rsidRPr="00D806D9">
        <w:rPr>
          <w:rFonts w:asciiTheme="majorBidi" w:eastAsia="Times New Roman" w:hAnsiTheme="majorBidi" w:cstheme="majorBidi"/>
          <w:sz w:val="24"/>
          <w:szCs w:val="24"/>
          <w:lang w:val="en-US" w:eastAsia="fr-FR" w:bidi="he-IL"/>
        </w:rPr>
        <w:t xml:space="preserve">lectricity </w:t>
      </w:r>
      <w:r w:rsidR="008A5280" w:rsidRPr="00D806D9">
        <w:rPr>
          <w:rFonts w:asciiTheme="majorBidi" w:eastAsia="Times New Roman" w:hAnsiTheme="majorBidi" w:cstheme="majorBidi"/>
          <w:sz w:val="24"/>
          <w:szCs w:val="24"/>
          <w:lang w:val="en-US" w:eastAsia="fr-FR" w:bidi="he-IL"/>
        </w:rPr>
        <w:t>S</w:t>
      </w:r>
      <w:r w:rsidRPr="00D806D9">
        <w:rPr>
          <w:rFonts w:asciiTheme="majorBidi" w:eastAsia="Times New Roman" w:hAnsiTheme="majorBidi" w:cstheme="majorBidi"/>
          <w:sz w:val="24"/>
          <w:szCs w:val="24"/>
          <w:lang w:val="en-US" w:eastAsia="fr-FR" w:bidi="he-IL"/>
        </w:rPr>
        <w:t xml:space="preserve">ystems. Political Geography, </w:t>
      </w:r>
      <w:r w:rsidRPr="00D806D9">
        <w:rPr>
          <w:rFonts w:asciiTheme="majorBidi" w:eastAsia="Times New Roman" w:hAnsiTheme="majorBidi" w:cstheme="majorBidi"/>
          <w:i/>
          <w:iCs/>
          <w:sz w:val="24"/>
          <w:szCs w:val="24"/>
          <w:lang w:val="en-US" w:eastAsia="fr-FR" w:bidi="he-IL"/>
        </w:rPr>
        <w:t>94</w:t>
      </w:r>
      <w:r w:rsidRPr="00D806D9">
        <w:rPr>
          <w:rFonts w:asciiTheme="majorBidi" w:eastAsia="Times New Roman" w:hAnsiTheme="majorBidi" w:cstheme="majorBidi"/>
          <w:sz w:val="24"/>
          <w:szCs w:val="24"/>
          <w:lang w:val="en-US" w:eastAsia="fr-FR" w:bidi="he-IL"/>
        </w:rPr>
        <w:t xml:space="preserve">, Article 102579. </w:t>
      </w:r>
      <w:hyperlink r:id="rId127" w:anchor="!" w:history="1">
        <w:r w:rsidRPr="00D806D9">
          <w:rPr>
            <w:rStyle w:val="Hyperlink"/>
            <w:rFonts w:asciiTheme="majorBidi" w:eastAsia="Times New Roman" w:hAnsiTheme="majorBidi" w:cstheme="majorBidi"/>
            <w:sz w:val="24"/>
            <w:szCs w:val="24"/>
            <w:lang w:val="en-US" w:eastAsia="fr-FR" w:bidi="he-IL"/>
          </w:rPr>
          <w:t>Link</w:t>
        </w:r>
      </w:hyperlink>
    </w:p>
    <w:p w14:paraId="721BD0A8" w14:textId="77777777" w:rsidR="00A56E8A" w:rsidRPr="00D806D9" w:rsidRDefault="00A56E8A"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3458C38E" w14:textId="3020B5F8"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The Royal Society. (2018). </w:t>
      </w:r>
      <w:r w:rsidRPr="00D806D9">
        <w:rPr>
          <w:rFonts w:asciiTheme="majorBidi" w:hAnsiTheme="majorBidi" w:cstheme="majorBidi"/>
          <w:i/>
          <w:iCs/>
          <w:sz w:val="24"/>
          <w:szCs w:val="24"/>
          <w:lang w:val="en-US"/>
        </w:rPr>
        <w:t>Options for Producing Low-Carbon Hydrogen at Scale</w:t>
      </w:r>
      <w:r w:rsidRPr="00D806D9">
        <w:rPr>
          <w:rFonts w:asciiTheme="majorBidi" w:hAnsiTheme="majorBidi" w:cstheme="majorBidi"/>
          <w:sz w:val="24"/>
          <w:szCs w:val="24"/>
          <w:lang w:val="en-US"/>
        </w:rPr>
        <w:t xml:space="preserve">. </w:t>
      </w:r>
      <w:hyperlink r:id="rId128" w:history="1">
        <w:r w:rsidRPr="00D806D9">
          <w:rPr>
            <w:rStyle w:val="Hyperlink"/>
            <w:rFonts w:asciiTheme="majorBidi" w:hAnsiTheme="majorBidi" w:cstheme="majorBidi"/>
            <w:sz w:val="24"/>
            <w:szCs w:val="24"/>
            <w:lang w:val="en-US"/>
          </w:rPr>
          <w:t>Link</w:t>
        </w:r>
      </w:hyperlink>
    </w:p>
    <w:p w14:paraId="71F1A529" w14:textId="77777777" w:rsidR="00A56E8A" w:rsidRPr="00D806D9" w:rsidRDefault="00A56E8A" w:rsidP="00003440">
      <w:pPr>
        <w:pStyle w:val="FootnoteText"/>
        <w:jc w:val="both"/>
        <w:rPr>
          <w:rFonts w:asciiTheme="majorBidi" w:hAnsiTheme="majorBidi" w:cstheme="majorBidi"/>
          <w:sz w:val="24"/>
          <w:szCs w:val="24"/>
          <w:lang w:val="en-US"/>
        </w:rPr>
      </w:pPr>
    </w:p>
    <w:p w14:paraId="4C5300D1" w14:textId="5E5A0D54" w:rsidR="00E60725" w:rsidRPr="00D806D9" w:rsidRDefault="00E60725"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UNECE. (2021). </w:t>
      </w:r>
      <w:r w:rsidRPr="00D806D9">
        <w:rPr>
          <w:rFonts w:asciiTheme="majorBidi" w:hAnsiTheme="majorBidi" w:cstheme="majorBidi"/>
          <w:i/>
          <w:iCs/>
          <w:sz w:val="24"/>
          <w:szCs w:val="24"/>
          <w:lang w:val="en-US"/>
        </w:rPr>
        <w:t>Technology Brief - Carbon Capture, Use and Storage</w:t>
      </w:r>
      <w:r w:rsidRPr="00D806D9">
        <w:rPr>
          <w:rFonts w:asciiTheme="majorBidi" w:hAnsiTheme="majorBidi" w:cstheme="majorBidi"/>
          <w:sz w:val="24"/>
          <w:szCs w:val="24"/>
          <w:lang w:val="en-US"/>
        </w:rPr>
        <w:t xml:space="preserve">. </w:t>
      </w:r>
      <w:hyperlink r:id="rId129"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April 4</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 </w:t>
      </w:r>
    </w:p>
    <w:p w14:paraId="3FBE3E09" w14:textId="77777777" w:rsidR="00A56E8A" w:rsidRPr="00D806D9" w:rsidRDefault="00A56E8A" w:rsidP="00003440">
      <w:pPr>
        <w:pStyle w:val="FootnoteText"/>
        <w:jc w:val="both"/>
        <w:rPr>
          <w:rFonts w:asciiTheme="majorBidi" w:hAnsiTheme="majorBidi" w:cstheme="majorBidi"/>
          <w:sz w:val="24"/>
          <w:szCs w:val="24"/>
          <w:lang w:val="en-US"/>
        </w:rPr>
      </w:pPr>
    </w:p>
    <w:p w14:paraId="275330C9" w14:textId="2606B2EB"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UNE</w:t>
      </w:r>
      <w:r w:rsidR="001F49D3">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 (2020). </w:t>
      </w:r>
      <w:r w:rsidRPr="00D806D9">
        <w:rPr>
          <w:rFonts w:asciiTheme="majorBidi" w:hAnsiTheme="majorBidi" w:cstheme="majorBidi"/>
          <w:i/>
          <w:iCs/>
          <w:sz w:val="24"/>
          <w:szCs w:val="24"/>
          <w:lang w:val="en-US"/>
        </w:rPr>
        <w:t>Emissions Gap Report 2020</w:t>
      </w:r>
      <w:r w:rsidRPr="00D806D9">
        <w:rPr>
          <w:rFonts w:asciiTheme="majorBidi" w:hAnsiTheme="majorBidi" w:cstheme="majorBidi"/>
          <w:sz w:val="24"/>
          <w:szCs w:val="24"/>
          <w:lang w:val="en-US"/>
        </w:rPr>
        <w:t xml:space="preserve">. </w:t>
      </w:r>
      <w:hyperlink r:id="rId130" w:history="1">
        <w:r w:rsidRPr="00D806D9">
          <w:rPr>
            <w:rStyle w:val="Hyperlink"/>
            <w:rFonts w:asciiTheme="majorBidi" w:hAnsiTheme="majorBidi" w:cstheme="majorBidi"/>
            <w:sz w:val="24"/>
            <w:szCs w:val="24"/>
            <w:lang w:val="en-US"/>
          </w:rPr>
          <w:t>Link</w:t>
        </w:r>
      </w:hyperlink>
    </w:p>
    <w:p w14:paraId="4C7A5E25" w14:textId="77777777" w:rsidR="00A56E8A" w:rsidRPr="00D806D9" w:rsidRDefault="00A56E8A" w:rsidP="00003440">
      <w:pPr>
        <w:pStyle w:val="FootnoteText"/>
        <w:jc w:val="both"/>
        <w:rPr>
          <w:rFonts w:asciiTheme="majorBidi" w:hAnsiTheme="majorBidi" w:cstheme="majorBidi"/>
          <w:sz w:val="24"/>
          <w:szCs w:val="24"/>
          <w:lang w:val="en-US"/>
        </w:rPr>
      </w:pPr>
    </w:p>
    <w:p w14:paraId="3D836736" w14:textId="375BB5CC" w:rsidR="00E60725" w:rsidRPr="00D806D9" w:rsidRDefault="00E5077E" w:rsidP="00003440">
      <w:pPr>
        <w:pStyle w:val="FootnoteText"/>
        <w:jc w:val="both"/>
        <w:rPr>
          <w:rFonts w:asciiTheme="majorBidi" w:hAnsiTheme="majorBidi" w:cstheme="majorBidi"/>
          <w:sz w:val="24"/>
          <w:szCs w:val="24"/>
          <w:lang w:val="en-US"/>
        </w:rPr>
      </w:pPr>
      <w:r w:rsidRPr="00D806D9">
        <w:rPr>
          <w:rFonts w:asciiTheme="majorBidi" w:hAnsiTheme="majorBidi" w:cstheme="majorBidi"/>
          <w:sz w:val="24"/>
          <w:szCs w:val="24"/>
          <w:lang w:val="en-US"/>
        </w:rPr>
        <w:t>UN</w:t>
      </w:r>
      <w:r w:rsidR="00E60725" w:rsidRPr="00D806D9">
        <w:rPr>
          <w:rFonts w:asciiTheme="majorBidi" w:hAnsiTheme="majorBidi" w:cstheme="majorBidi"/>
          <w:sz w:val="24"/>
          <w:szCs w:val="24"/>
          <w:lang w:val="en-US"/>
        </w:rPr>
        <w:t xml:space="preserve">. (2015, December 12). </w:t>
      </w:r>
      <w:r w:rsidR="00E60725" w:rsidRPr="00D806D9">
        <w:rPr>
          <w:rFonts w:asciiTheme="majorBidi" w:hAnsiTheme="majorBidi" w:cstheme="majorBidi"/>
          <w:i/>
          <w:iCs/>
          <w:sz w:val="24"/>
          <w:szCs w:val="24"/>
          <w:lang w:val="en-US"/>
        </w:rPr>
        <w:t>Paris Agreement</w:t>
      </w:r>
      <w:r w:rsidR="00E60725" w:rsidRPr="00D806D9">
        <w:rPr>
          <w:rFonts w:asciiTheme="majorBidi" w:hAnsiTheme="majorBidi" w:cstheme="majorBidi"/>
          <w:sz w:val="24"/>
          <w:szCs w:val="24"/>
          <w:lang w:val="en-US"/>
        </w:rPr>
        <w:t xml:space="preserve">. </w:t>
      </w:r>
      <w:hyperlink r:id="rId131" w:history="1">
        <w:r w:rsidR="00E60725" w:rsidRPr="00D806D9">
          <w:rPr>
            <w:rStyle w:val="Hyperlink"/>
            <w:rFonts w:asciiTheme="majorBidi" w:hAnsiTheme="majorBidi" w:cstheme="majorBidi"/>
            <w:sz w:val="24"/>
            <w:szCs w:val="24"/>
            <w:lang w:val="en-US"/>
          </w:rPr>
          <w:t>Link</w:t>
        </w:r>
      </w:hyperlink>
      <w:r w:rsidR="00E60725" w:rsidRPr="00D806D9">
        <w:rPr>
          <w:rFonts w:asciiTheme="majorBidi" w:hAnsiTheme="majorBidi" w:cstheme="majorBidi"/>
          <w:sz w:val="24"/>
          <w:szCs w:val="24"/>
          <w:lang w:val="en-US"/>
        </w:rPr>
        <w:t xml:space="preserve"> (accessed on April 4</w:t>
      </w:r>
      <w:r w:rsidR="00E60725" w:rsidRPr="00D806D9">
        <w:rPr>
          <w:rFonts w:asciiTheme="majorBidi" w:hAnsiTheme="majorBidi" w:cstheme="majorBidi"/>
          <w:sz w:val="24"/>
          <w:szCs w:val="24"/>
          <w:vertAlign w:val="superscript"/>
          <w:lang w:val="en-US"/>
        </w:rPr>
        <w:t>th</w:t>
      </w:r>
      <w:r w:rsidR="00E60725" w:rsidRPr="00D806D9">
        <w:rPr>
          <w:rFonts w:asciiTheme="majorBidi" w:hAnsiTheme="majorBidi" w:cstheme="majorBidi"/>
          <w:sz w:val="24"/>
          <w:szCs w:val="24"/>
          <w:lang w:val="en-US"/>
        </w:rPr>
        <w:t xml:space="preserve"> 2022)</w:t>
      </w:r>
    </w:p>
    <w:p w14:paraId="337FEF39" w14:textId="77777777" w:rsidR="00A56E8A" w:rsidRPr="00D806D9" w:rsidRDefault="00A56E8A" w:rsidP="00003440">
      <w:pPr>
        <w:pStyle w:val="FootnoteText"/>
        <w:jc w:val="both"/>
        <w:rPr>
          <w:rFonts w:asciiTheme="majorBidi" w:hAnsiTheme="majorBidi" w:cstheme="majorBidi"/>
          <w:sz w:val="24"/>
          <w:szCs w:val="24"/>
          <w:lang w:val="en-US"/>
        </w:rPr>
      </w:pPr>
    </w:p>
    <w:p w14:paraId="751B5470" w14:textId="1DDC2A97" w:rsidR="00E60725" w:rsidRPr="00D806D9" w:rsidRDefault="00E60725"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r w:rsidRPr="00D806D9">
        <w:rPr>
          <w:rFonts w:asciiTheme="majorBidi" w:eastAsia="Times New Roman" w:hAnsiTheme="majorBidi" w:cstheme="majorBidi"/>
          <w:sz w:val="24"/>
          <w:szCs w:val="24"/>
          <w:lang w:val="en-US" w:eastAsia="fr-FR" w:bidi="he-IL"/>
        </w:rPr>
        <w:t xml:space="preserve">Van de Graaf, T. (2021). The Next Prize: Geopolitical Stakes in the Clean Hydrogen Race. </w:t>
      </w:r>
      <w:r w:rsidRPr="00D806D9">
        <w:rPr>
          <w:rFonts w:asciiTheme="majorBidi" w:eastAsia="Times New Roman" w:hAnsiTheme="majorBidi" w:cstheme="majorBidi"/>
          <w:i/>
          <w:iCs/>
          <w:sz w:val="24"/>
          <w:szCs w:val="24"/>
          <w:lang w:val="en-US" w:eastAsia="fr-FR" w:bidi="he-IL"/>
        </w:rPr>
        <w:t>Forum</w:t>
      </w:r>
      <w:r w:rsidR="00E05CCC" w:rsidRPr="00D806D9">
        <w:rPr>
          <w:rFonts w:asciiTheme="majorBidi" w:eastAsia="Times New Roman" w:hAnsiTheme="majorBidi" w:cstheme="majorBidi"/>
          <w:i/>
          <w:iCs/>
          <w:sz w:val="24"/>
          <w:szCs w:val="24"/>
          <w:lang w:val="en-US" w:eastAsia="fr-FR" w:bidi="he-IL"/>
        </w:rPr>
        <w:t>.</w:t>
      </w:r>
      <w:r w:rsidRPr="00D806D9">
        <w:rPr>
          <w:rFonts w:asciiTheme="majorBidi" w:eastAsia="Times New Roman" w:hAnsiTheme="majorBidi" w:cstheme="majorBidi"/>
          <w:i/>
          <w:iCs/>
          <w:sz w:val="24"/>
          <w:szCs w:val="24"/>
          <w:lang w:val="en-US" w:eastAsia="fr-FR" w:bidi="he-IL"/>
        </w:rPr>
        <w:t xml:space="preserve"> </w:t>
      </w:r>
      <w:r w:rsidRPr="00D806D9">
        <w:rPr>
          <w:rFonts w:asciiTheme="majorBidi" w:eastAsia="Times New Roman" w:hAnsiTheme="majorBidi" w:cstheme="majorBidi"/>
          <w:sz w:val="24"/>
          <w:szCs w:val="24"/>
          <w:lang w:val="en-US" w:eastAsia="fr-FR" w:bidi="he-IL"/>
        </w:rPr>
        <w:t xml:space="preserve">The Oxford Institute for Energy Studies. </w:t>
      </w:r>
      <w:hyperlink r:id="rId132" w:history="1">
        <w:r w:rsidRPr="00D806D9">
          <w:rPr>
            <w:rStyle w:val="Hyperlink"/>
            <w:rFonts w:asciiTheme="majorBidi" w:eastAsia="Times New Roman" w:hAnsiTheme="majorBidi" w:cstheme="majorBidi"/>
            <w:sz w:val="24"/>
            <w:szCs w:val="24"/>
            <w:lang w:val="en-US" w:eastAsia="fr-FR" w:bidi="he-IL"/>
          </w:rPr>
          <w:t>Link</w:t>
        </w:r>
      </w:hyperlink>
    </w:p>
    <w:p w14:paraId="4E7497C5" w14:textId="77777777" w:rsidR="00A56E8A" w:rsidRPr="00D806D9" w:rsidRDefault="00A56E8A" w:rsidP="00003440">
      <w:pPr>
        <w:autoSpaceDE w:val="0"/>
        <w:autoSpaceDN w:val="0"/>
        <w:adjustRightInd w:val="0"/>
        <w:spacing w:after="0" w:line="240" w:lineRule="auto"/>
        <w:jc w:val="both"/>
        <w:rPr>
          <w:rFonts w:asciiTheme="majorBidi" w:eastAsia="Times New Roman" w:hAnsiTheme="majorBidi" w:cstheme="majorBidi"/>
          <w:sz w:val="24"/>
          <w:szCs w:val="24"/>
          <w:lang w:val="en-US" w:eastAsia="fr-FR" w:bidi="he-IL"/>
        </w:rPr>
      </w:pPr>
    </w:p>
    <w:p w14:paraId="34833404" w14:textId="0C763C51" w:rsidR="00E60725" w:rsidRPr="00D806D9" w:rsidRDefault="00E60725" w:rsidP="00003440">
      <w:pPr>
        <w:pStyle w:val="FootnoteText"/>
        <w:jc w:val="both"/>
        <w:rPr>
          <w:rStyle w:val="Hyperlink"/>
          <w:rFonts w:asciiTheme="majorBidi" w:hAnsiTheme="majorBidi" w:cstheme="majorBidi"/>
          <w:sz w:val="24"/>
          <w:szCs w:val="24"/>
          <w:lang w:val="en-US"/>
        </w:rPr>
      </w:pPr>
      <w:r w:rsidRPr="00D806D9">
        <w:rPr>
          <w:rFonts w:asciiTheme="majorBidi" w:hAnsiTheme="majorBidi" w:cstheme="majorBidi"/>
          <w:sz w:val="24"/>
          <w:szCs w:val="24"/>
          <w:lang w:val="en-US"/>
        </w:rPr>
        <w:t xml:space="preserve">Van Hoecke, L., </w:t>
      </w:r>
      <w:proofErr w:type="spellStart"/>
      <w:r w:rsidRPr="00D806D9">
        <w:rPr>
          <w:rFonts w:asciiTheme="majorBidi" w:hAnsiTheme="majorBidi" w:cstheme="majorBidi"/>
          <w:sz w:val="24"/>
          <w:szCs w:val="24"/>
          <w:lang w:val="en-US"/>
        </w:rPr>
        <w:t>Laffineur</w:t>
      </w:r>
      <w:proofErr w:type="spellEnd"/>
      <w:r w:rsidRPr="00D806D9">
        <w:rPr>
          <w:rFonts w:asciiTheme="majorBidi" w:hAnsiTheme="majorBidi" w:cstheme="majorBidi"/>
          <w:sz w:val="24"/>
          <w:szCs w:val="24"/>
          <w:lang w:val="en-US"/>
        </w:rPr>
        <w:t xml:space="preserve">, L., </w:t>
      </w:r>
      <w:proofErr w:type="spellStart"/>
      <w:r w:rsidRPr="00D806D9">
        <w:rPr>
          <w:rFonts w:asciiTheme="majorBidi" w:hAnsiTheme="majorBidi" w:cstheme="majorBidi"/>
          <w:sz w:val="24"/>
          <w:szCs w:val="24"/>
          <w:lang w:val="en-US"/>
        </w:rPr>
        <w:t>Campe</w:t>
      </w:r>
      <w:proofErr w:type="spellEnd"/>
      <w:r w:rsidRPr="00D806D9">
        <w:rPr>
          <w:rFonts w:asciiTheme="majorBidi" w:hAnsiTheme="majorBidi" w:cstheme="majorBidi"/>
          <w:sz w:val="24"/>
          <w:szCs w:val="24"/>
          <w:lang w:val="en-US"/>
        </w:rPr>
        <w:t xml:space="preserve">, R., Perreault, P., </w:t>
      </w:r>
      <w:proofErr w:type="spellStart"/>
      <w:r w:rsidRPr="00D806D9">
        <w:rPr>
          <w:rFonts w:asciiTheme="majorBidi" w:hAnsiTheme="majorBidi" w:cstheme="majorBidi"/>
          <w:sz w:val="24"/>
          <w:szCs w:val="24"/>
          <w:lang w:val="en-US"/>
        </w:rPr>
        <w:t>Verbruggen</w:t>
      </w:r>
      <w:proofErr w:type="spellEnd"/>
      <w:r w:rsidRPr="00D806D9">
        <w:rPr>
          <w:rFonts w:asciiTheme="majorBidi" w:hAnsiTheme="majorBidi" w:cstheme="majorBidi"/>
          <w:sz w:val="24"/>
          <w:szCs w:val="24"/>
          <w:lang w:val="en-US"/>
        </w:rPr>
        <w:t xml:space="preserve">, S.W., &amp; </w:t>
      </w:r>
      <w:proofErr w:type="spellStart"/>
      <w:r w:rsidRPr="00D806D9">
        <w:rPr>
          <w:rFonts w:asciiTheme="majorBidi" w:hAnsiTheme="majorBidi" w:cstheme="majorBidi"/>
          <w:sz w:val="24"/>
          <w:szCs w:val="24"/>
          <w:lang w:val="en-US"/>
        </w:rPr>
        <w:t>Lenaerts</w:t>
      </w:r>
      <w:proofErr w:type="spellEnd"/>
      <w:r w:rsidRPr="00D806D9">
        <w:rPr>
          <w:rFonts w:asciiTheme="majorBidi" w:hAnsiTheme="majorBidi" w:cstheme="majorBidi"/>
          <w:sz w:val="24"/>
          <w:szCs w:val="24"/>
          <w:lang w:val="en-US"/>
        </w:rPr>
        <w:t xml:space="preserve">, S. (2021). Challenges in the Use of Hydrogen for Maritime Applications. </w:t>
      </w:r>
      <w:r w:rsidRPr="00D806D9">
        <w:rPr>
          <w:rFonts w:asciiTheme="majorBidi" w:hAnsiTheme="majorBidi" w:cstheme="majorBidi"/>
          <w:i/>
          <w:iCs/>
          <w:sz w:val="24"/>
          <w:szCs w:val="24"/>
          <w:lang w:val="en-US"/>
        </w:rPr>
        <w:t>Energy &amp; Environmental Science</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14</w:t>
      </w:r>
      <w:r w:rsidRPr="00D806D9">
        <w:rPr>
          <w:rFonts w:asciiTheme="majorBidi" w:hAnsiTheme="majorBidi" w:cstheme="majorBidi"/>
          <w:sz w:val="24"/>
          <w:szCs w:val="24"/>
          <w:lang w:val="en-US"/>
        </w:rPr>
        <w:t xml:space="preserve">(2), 815-843. </w:t>
      </w:r>
      <w:hyperlink r:id="rId133" w:history="1">
        <w:r w:rsidRPr="00D806D9">
          <w:rPr>
            <w:rStyle w:val="Hyperlink"/>
            <w:rFonts w:asciiTheme="majorBidi" w:hAnsiTheme="majorBidi" w:cstheme="majorBidi"/>
            <w:sz w:val="24"/>
            <w:szCs w:val="24"/>
            <w:lang w:val="en-US"/>
          </w:rPr>
          <w:t>Link</w:t>
        </w:r>
      </w:hyperlink>
    </w:p>
    <w:p w14:paraId="19F3D5B5" w14:textId="77777777" w:rsidR="00A56E8A" w:rsidRPr="00D806D9" w:rsidRDefault="00A56E8A" w:rsidP="00003440">
      <w:pPr>
        <w:pStyle w:val="FootnoteText"/>
        <w:jc w:val="both"/>
        <w:rPr>
          <w:rFonts w:asciiTheme="majorBidi" w:hAnsiTheme="majorBidi" w:cstheme="majorBidi"/>
          <w:sz w:val="24"/>
          <w:szCs w:val="24"/>
          <w:lang w:val="en-US"/>
        </w:rPr>
      </w:pPr>
    </w:p>
    <w:p w14:paraId="286F4383" w14:textId="14F3C305" w:rsidR="00E60725" w:rsidRPr="00397B73" w:rsidRDefault="00E60725" w:rsidP="00003440">
      <w:pPr>
        <w:pStyle w:val="FootnoteText"/>
        <w:jc w:val="both"/>
        <w:rPr>
          <w:rFonts w:asciiTheme="majorBidi" w:hAnsiTheme="majorBidi" w:cstheme="majorBidi"/>
          <w:sz w:val="24"/>
          <w:szCs w:val="24"/>
        </w:rPr>
      </w:pPr>
      <w:r w:rsidRPr="00D806D9">
        <w:rPr>
          <w:rFonts w:asciiTheme="majorBidi" w:hAnsiTheme="majorBidi" w:cstheme="majorBidi"/>
          <w:sz w:val="24"/>
          <w:szCs w:val="24"/>
          <w:lang w:val="en-US"/>
        </w:rPr>
        <w:t xml:space="preserve">WB. (2017). </w:t>
      </w:r>
      <w:r w:rsidRPr="00D806D9">
        <w:rPr>
          <w:rFonts w:asciiTheme="majorBidi" w:hAnsiTheme="majorBidi" w:cstheme="majorBidi"/>
          <w:i/>
          <w:iCs/>
          <w:sz w:val="24"/>
          <w:szCs w:val="24"/>
          <w:lang w:val="en-US"/>
        </w:rPr>
        <w:t>Report of the High-Level Commission on Carbon Prices</w:t>
      </w:r>
      <w:r w:rsidRPr="00D806D9">
        <w:rPr>
          <w:rFonts w:asciiTheme="majorBidi" w:hAnsiTheme="majorBidi" w:cstheme="majorBidi"/>
          <w:sz w:val="24"/>
          <w:szCs w:val="24"/>
          <w:lang w:val="en-US"/>
        </w:rPr>
        <w:t>.</w:t>
      </w:r>
      <w:r w:rsidR="00CF1307" w:rsidRPr="00D806D9">
        <w:rPr>
          <w:rFonts w:asciiTheme="majorBidi" w:hAnsiTheme="majorBidi" w:cstheme="majorBidi"/>
          <w:sz w:val="24"/>
          <w:szCs w:val="24"/>
          <w:lang w:val="en-US"/>
        </w:rPr>
        <w:t xml:space="preserve"> </w:t>
      </w:r>
      <w:hyperlink r:id="rId134" w:history="1">
        <w:r w:rsidR="00CF1307" w:rsidRPr="00397B73">
          <w:rPr>
            <w:rStyle w:val="Hyperlink"/>
            <w:rFonts w:asciiTheme="majorBidi" w:hAnsiTheme="majorBidi" w:cstheme="majorBidi"/>
            <w:sz w:val="24"/>
            <w:szCs w:val="24"/>
          </w:rPr>
          <w:t>Link</w:t>
        </w:r>
      </w:hyperlink>
    </w:p>
    <w:p w14:paraId="280A42A1" w14:textId="0D420615" w:rsidR="00E60725" w:rsidRPr="00D806D9" w:rsidRDefault="00E60725" w:rsidP="00003440">
      <w:pPr>
        <w:spacing w:after="0" w:line="240" w:lineRule="auto"/>
        <w:jc w:val="both"/>
        <w:rPr>
          <w:rStyle w:val="Hyperlink"/>
          <w:rFonts w:asciiTheme="majorBidi" w:hAnsiTheme="majorBidi" w:cstheme="majorBidi"/>
          <w:sz w:val="24"/>
          <w:szCs w:val="24"/>
          <w:lang w:val="en-US"/>
        </w:rPr>
      </w:pPr>
      <w:r w:rsidRPr="00397B73">
        <w:rPr>
          <w:rFonts w:asciiTheme="majorBidi" w:hAnsiTheme="majorBidi" w:cstheme="majorBidi"/>
          <w:sz w:val="24"/>
          <w:szCs w:val="24"/>
        </w:rPr>
        <w:lastRenderedPageBreak/>
        <w:t xml:space="preserve">Wei, Y-M., Han, R., Wang, C., Yu, B., Liang, Q-M., Yuan, X-C., Chang, J., Zhao, Q., Liao, H., Tang, B., Yan, J., Cheng, L., &amp; Yang, Z. (2020). </w:t>
      </w:r>
      <w:r w:rsidRPr="00D806D9">
        <w:rPr>
          <w:rFonts w:asciiTheme="majorBidi" w:hAnsiTheme="majorBidi" w:cstheme="majorBidi"/>
          <w:sz w:val="24"/>
          <w:szCs w:val="24"/>
          <w:lang w:val="en-US"/>
        </w:rPr>
        <w:t>Self-</w:t>
      </w:r>
      <w:r w:rsidR="00E5077E"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reservation </w:t>
      </w:r>
      <w:r w:rsidR="00E5077E" w:rsidRPr="00D806D9">
        <w:rPr>
          <w:rFonts w:asciiTheme="majorBidi" w:hAnsiTheme="majorBidi" w:cstheme="majorBidi"/>
          <w:sz w:val="24"/>
          <w:szCs w:val="24"/>
          <w:lang w:val="en-US"/>
        </w:rPr>
        <w:t>S</w:t>
      </w:r>
      <w:r w:rsidRPr="00D806D9">
        <w:rPr>
          <w:rFonts w:asciiTheme="majorBidi" w:hAnsiTheme="majorBidi" w:cstheme="majorBidi"/>
          <w:sz w:val="24"/>
          <w:szCs w:val="24"/>
          <w:lang w:val="en-US"/>
        </w:rPr>
        <w:t xml:space="preserve">trategy for </w:t>
      </w:r>
      <w:r w:rsidR="00E5077E" w:rsidRPr="00D806D9">
        <w:rPr>
          <w:rFonts w:asciiTheme="majorBidi" w:hAnsiTheme="majorBidi" w:cstheme="majorBidi"/>
          <w:sz w:val="24"/>
          <w:szCs w:val="24"/>
          <w:lang w:val="en-US"/>
        </w:rPr>
        <w:t>A</w:t>
      </w:r>
      <w:r w:rsidRPr="00D806D9">
        <w:rPr>
          <w:rFonts w:asciiTheme="majorBidi" w:hAnsiTheme="majorBidi" w:cstheme="majorBidi"/>
          <w:sz w:val="24"/>
          <w:szCs w:val="24"/>
          <w:lang w:val="en-US"/>
        </w:rPr>
        <w:t xml:space="preserve">pproaching </w:t>
      </w:r>
      <w:r w:rsidR="00E5077E" w:rsidRPr="00D806D9">
        <w:rPr>
          <w:rFonts w:asciiTheme="majorBidi" w:hAnsiTheme="majorBidi" w:cstheme="majorBidi"/>
          <w:sz w:val="24"/>
          <w:szCs w:val="24"/>
          <w:lang w:val="en-US"/>
        </w:rPr>
        <w:t>G</w:t>
      </w:r>
      <w:r w:rsidRPr="00D806D9">
        <w:rPr>
          <w:rFonts w:asciiTheme="majorBidi" w:hAnsiTheme="majorBidi" w:cstheme="majorBidi"/>
          <w:sz w:val="24"/>
          <w:szCs w:val="24"/>
          <w:lang w:val="en-US"/>
        </w:rPr>
        <w:t xml:space="preserve">lobal </w:t>
      </w:r>
      <w:r w:rsidR="00E5077E" w:rsidRPr="00D806D9">
        <w:rPr>
          <w:rFonts w:asciiTheme="majorBidi" w:hAnsiTheme="majorBidi" w:cstheme="majorBidi"/>
          <w:sz w:val="24"/>
          <w:szCs w:val="24"/>
          <w:lang w:val="en-US"/>
        </w:rPr>
        <w:t>W</w:t>
      </w:r>
      <w:r w:rsidRPr="00D806D9">
        <w:rPr>
          <w:rFonts w:asciiTheme="majorBidi" w:hAnsiTheme="majorBidi" w:cstheme="majorBidi"/>
          <w:sz w:val="24"/>
          <w:szCs w:val="24"/>
          <w:lang w:val="en-US"/>
        </w:rPr>
        <w:t xml:space="preserve">arming </w:t>
      </w:r>
      <w:r w:rsidR="00E5077E" w:rsidRPr="00D806D9">
        <w:rPr>
          <w:rFonts w:asciiTheme="majorBidi" w:hAnsiTheme="majorBidi" w:cstheme="majorBidi"/>
          <w:sz w:val="24"/>
          <w:szCs w:val="24"/>
          <w:lang w:val="en-US"/>
        </w:rPr>
        <w:t>T</w:t>
      </w:r>
      <w:r w:rsidRPr="00D806D9">
        <w:rPr>
          <w:rFonts w:asciiTheme="majorBidi" w:hAnsiTheme="majorBidi" w:cstheme="majorBidi"/>
          <w:sz w:val="24"/>
          <w:szCs w:val="24"/>
          <w:lang w:val="en-US"/>
        </w:rPr>
        <w:t xml:space="preserve">argets in the </w:t>
      </w:r>
      <w:r w:rsidR="00E5077E" w:rsidRPr="00D806D9">
        <w:rPr>
          <w:rFonts w:asciiTheme="majorBidi" w:hAnsiTheme="majorBidi" w:cstheme="majorBidi"/>
          <w:sz w:val="24"/>
          <w:szCs w:val="24"/>
          <w:lang w:val="en-US"/>
        </w:rPr>
        <w:t>P</w:t>
      </w:r>
      <w:r w:rsidRPr="00D806D9">
        <w:rPr>
          <w:rFonts w:asciiTheme="majorBidi" w:hAnsiTheme="majorBidi" w:cstheme="majorBidi"/>
          <w:sz w:val="24"/>
          <w:szCs w:val="24"/>
          <w:lang w:val="en-US"/>
        </w:rPr>
        <w:t xml:space="preserve">ost-Paris Agreement </w:t>
      </w:r>
      <w:r w:rsidR="00E5077E" w:rsidRPr="00D806D9">
        <w:rPr>
          <w:rFonts w:asciiTheme="majorBidi" w:hAnsiTheme="majorBidi" w:cstheme="majorBidi"/>
          <w:sz w:val="24"/>
          <w:szCs w:val="24"/>
          <w:lang w:val="en-US"/>
        </w:rPr>
        <w:t>E</w:t>
      </w:r>
      <w:r w:rsidRPr="00D806D9">
        <w:rPr>
          <w:rFonts w:asciiTheme="majorBidi" w:hAnsiTheme="majorBidi" w:cstheme="majorBidi"/>
          <w:sz w:val="24"/>
          <w:szCs w:val="24"/>
          <w:lang w:val="en-US"/>
        </w:rPr>
        <w:t xml:space="preserve">ra. </w:t>
      </w:r>
      <w:r w:rsidRPr="00D806D9">
        <w:rPr>
          <w:rFonts w:asciiTheme="majorBidi" w:hAnsiTheme="majorBidi" w:cstheme="majorBidi"/>
          <w:i/>
          <w:iCs/>
          <w:sz w:val="24"/>
          <w:szCs w:val="24"/>
          <w:lang w:val="en-US"/>
        </w:rPr>
        <w:t>Nature Communications</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11</w:t>
      </w:r>
      <w:r w:rsidRPr="00D806D9">
        <w:rPr>
          <w:rFonts w:asciiTheme="majorBidi" w:hAnsiTheme="majorBidi" w:cstheme="majorBidi"/>
          <w:sz w:val="24"/>
          <w:szCs w:val="24"/>
          <w:lang w:val="en-US"/>
        </w:rPr>
        <w:t xml:space="preserve">, Article 1624. </w:t>
      </w:r>
      <w:hyperlink r:id="rId135" w:anchor=":~:text=Compared%20to%20the%20current%20NDCs,6a)." w:history="1">
        <w:r w:rsidRPr="00D806D9">
          <w:rPr>
            <w:rStyle w:val="Hyperlink"/>
            <w:rFonts w:asciiTheme="majorBidi" w:hAnsiTheme="majorBidi" w:cstheme="majorBidi"/>
            <w:sz w:val="24"/>
            <w:szCs w:val="24"/>
            <w:lang w:val="en-US"/>
          </w:rPr>
          <w:t>Link</w:t>
        </w:r>
      </w:hyperlink>
    </w:p>
    <w:p w14:paraId="3A5CA6DC" w14:textId="77777777" w:rsidR="00A56E8A" w:rsidRPr="00D806D9" w:rsidRDefault="00A56E8A" w:rsidP="00003440">
      <w:pPr>
        <w:spacing w:after="0" w:line="240" w:lineRule="auto"/>
        <w:jc w:val="both"/>
        <w:rPr>
          <w:rFonts w:asciiTheme="majorBidi" w:hAnsiTheme="majorBidi" w:cstheme="majorBidi"/>
          <w:sz w:val="24"/>
          <w:szCs w:val="24"/>
          <w:lang w:val="en-US"/>
        </w:rPr>
      </w:pPr>
    </w:p>
    <w:p w14:paraId="320EAB91" w14:textId="77777777" w:rsidR="00A56E8A" w:rsidRPr="00D806D9" w:rsidRDefault="00E60725" w:rsidP="00003440">
      <w:pPr>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Welsby</w:t>
      </w:r>
      <w:proofErr w:type="spellEnd"/>
      <w:r w:rsidRPr="00D806D9">
        <w:rPr>
          <w:rFonts w:asciiTheme="majorBidi" w:hAnsiTheme="majorBidi" w:cstheme="majorBidi"/>
          <w:sz w:val="24"/>
          <w:szCs w:val="24"/>
          <w:lang w:val="en-US"/>
        </w:rPr>
        <w:t>, D., Price, J., Pye, S., &amp; Ekins, P. (2021). Unextractable Fossil Fuels in a 1.5°C</w:t>
      </w:r>
    </w:p>
    <w:p w14:paraId="3B68A152" w14:textId="3801A473" w:rsidR="00A56E8A" w:rsidRPr="00D806D9" w:rsidRDefault="00E60725" w:rsidP="00003440">
      <w:pPr>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 </w:t>
      </w:r>
    </w:p>
    <w:p w14:paraId="2CAAD289" w14:textId="615CAD13" w:rsidR="00E60725" w:rsidRPr="00D806D9" w:rsidRDefault="00E60725" w:rsidP="00003440">
      <w:pPr>
        <w:spacing w:after="0" w:line="240" w:lineRule="auto"/>
        <w:jc w:val="both"/>
        <w:rPr>
          <w:rFonts w:asciiTheme="majorBidi" w:hAnsiTheme="majorBidi" w:cstheme="majorBidi"/>
          <w:sz w:val="24"/>
          <w:szCs w:val="24"/>
          <w:lang w:val="en-US"/>
        </w:rPr>
      </w:pPr>
      <w:r w:rsidRPr="00D806D9">
        <w:rPr>
          <w:rFonts w:asciiTheme="majorBidi" w:hAnsiTheme="majorBidi" w:cstheme="majorBidi"/>
          <w:sz w:val="24"/>
          <w:szCs w:val="24"/>
          <w:lang w:val="en-US"/>
        </w:rPr>
        <w:t xml:space="preserve">World. </w:t>
      </w:r>
      <w:r w:rsidRPr="00D806D9">
        <w:rPr>
          <w:rFonts w:asciiTheme="majorBidi" w:hAnsiTheme="majorBidi" w:cstheme="majorBidi"/>
          <w:i/>
          <w:iCs/>
          <w:sz w:val="24"/>
          <w:szCs w:val="24"/>
          <w:lang w:val="en-US"/>
        </w:rPr>
        <w:t>Nature</w:t>
      </w:r>
      <w:r w:rsidRPr="00D806D9">
        <w:rPr>
          <w:rFonts w:asciiTheme="majorBidi" w:hAnsiTheme="majorBidi" w:cstheme="majorBidi"/>
          <w:sz w:val="24"/>
          <w:szCs w:val="24"/>
          <w:lang w:val="en-US"/>
        </w:rPr>
        <w:t xml:space="preserve">, </w:t>
      </w:r>
      <w:r w:rsidRPr="00D806D9">
        <w:rPr>
          <w:rFonts w:asciiTheme="majorBidi" w:hAnsiTheme="majorBidi" w:cstheme="majorBidi"/>
          <w:i/>
          <w:iCs/>
          <w:sz w:val="24"/>
          <w:szCs w:val="24"/>
          <w:lang w:val="en-US"/>
        </w:rPr>
        <w:t>597</w:t>
      </w:r>
      <w:r w:rsidRPr="00D806D9">
        <w:rPr>
          <w:rFonts w:asciiTheme="majorBidi" w:hAnsiTheme="majorBidi" w:cstheme="majorBidi"/>
          <w:sz w:val="24"/>
          <w:szCs w:val="24"/>
          <w:lang w:val="en-US"/>
        </w:rPr>
        <w:t xml:space="preserve">, 230-234. </w:t>
      </w:r>
      <w:hyperlink r:id="rId136" w:history="1">
        <w:r w:rsidRPr="00D806D9">
          <w:rPr>
            <w:rStyle w:val="Hyperlink"/>
            <w:rFonts w:asciiTheme="majorBidi" w:hAnsiTheme="majorBidi" w:cstheme="majorBidi"/>
            <w:sz w:val="24"/>
            <w:szCs w:val="24"/>
            <w:lang w:val="en-US"/>
          </w:rPr>
          <w:t>Link</w:t>
        </w:r>
      </w:hyperlink>
      <w:r w:rsidRPr="00D806D9">
        <w:rPr>
          <w:rFonts w:asciiTheme="majorBidi" w:hAnsiTheme="majorBidi" w:cstheme="majorBidi"/>
          <w:sz w:val="24"/>
          <w:szCs w:val="24"/>
          <w:lang w:val="en-US"/>
        </w:rPr>
        <w:t xml:space="preserve"> (accessed on June 17</w:t>
      </w:r>
      <w:r w:rsidRPr="00D806D9">
        <w:rPr>
          <w:rFonts w:asciiTheme="majorBidi" w:hAnsiTheme="majorBidi" w:cstheme="majorBidi"/>
          <w:sz w:val="24"/>
          <w:szCs w:val="24"/>
          <w:vertAlign w:val="superscript"/>
          <w:lang w:val="en-US"/>
        </w:rPr>
        <w:t>th</w:t>
      </w:r>
      <w:r w:rsidRPr="00D806D9">
        <w:rPr>
          <w:rFonts w:asciiTheme="majorBidi" w:hAnsiTheme="majorBidi" w:cstheme="majorBidi"/>
          <w:sz w:val="24"/>
          <w:szCs w:val="24"/>
          <w:lang w:val="en-US"/>
        </w:rPr>
        <w:t xml:space="preserve"> 2022)</w:t>
      </w:r>
    </w:p>
    <w:p w14:paraId="57869706" w14:textId="77777777" w:rsidR="00A56E8A" w:rsidRPr="00D806D9" w:rsidRDefault="00A56E8A" w:rsidP="00003440">
      <w:pPr>
        <w:spacing w:after="0" w:line="240" w:lineRule="auto"/>
        <w:jc w:val="both"/>
        <w:rPr>
          <w:rFonts w:asciiTheme="majorBidi" w:hAnsiTheme="majorBidi" w:cstheme="majorBidi"/>
          <w:sz w:val="24"/>
          <w:szCs w:val="24"/>
          <w:lang w:val="en-US"/>
        </w:rPr>
      </w:pPr>
    </w:p>
    <w:p w14:paraId="77179BF4" w14:textId="370B7CB0" w:rsidR="00256F34" w:rsidRPr="00D806D9" w:rsidRDefault="00E60725" w:rsidP="00003440">
      <w:pPr>
        <w:autoSpaceDE w:val="0"/>
        <w:autoSpaceDN w:val="0"/>
        <w:adjustRightInd w:val="0"/>
        <w:spacing w:after="0" w:line="240" w:lineRule="auto"/>
        <w:jc w:val="both"/>
        <w:rPr>
          <w:rFonts w:asciiTheme="majorBidi" w:hAnsiTheme="majorBidi" w:cstheme="majorBidi"/>
          <w:sz w:val="24"/>
          <w:szCs w:val="24"/>
          <w:lang w:val="en-US"/>
        </w:rPr>
      </w:pPr>
      <w:proofErr w:type="spellStart"/>
      <w:r w:rsidRPr="00D806D9">
        <w:rPr>
          <w:rFonts w:asciiTheme="majorBidi" w:hAnsiTheme="majorBidi" w:cstheme="majorBidi"/>
          <w:sz w:val="24"/>
          <w:szCs w:val="24"/>
          <w:lang w:val="en-US"/>
        </w:rPr>
        <w:t>Wildgrube</w:t>
      </w:r>
      <w:proofErr w:type="spellEnd"/>
      <w:r w:rsidRPr="00D806D9">
        <w:rPr>
          <w:rFonts w:asciiTheme="majorBidi" w:hAnsiTheme="majorBidi" w:cstheme="majorBidi"/>
          <w:sz w:val="24"/>
          <w:szCs w:val="24"/>
          <w:lang w:val="en-US"/>
        </w:rPr>
        <w:t xml:space="preserve">, T. (2022). </w:t>
      </w:r>
      <w:r w:rsidRPr="00D806D9">
        <w:rPr>
          <w:rFonts w:asciiTheme="majorBidi" w:hAnsiTheme="majorBidi" w:cstheme="majorBidi"/>
          <w:i/>
          <w:iCs/>
          <w:sz w:val="24"/>
          <w:szCs w:val="24"/>
          <w:lang w:val="en-US"/>
        </w:rPr>
        <w:t>Fit for 55? An assessment of the effectiveness of the EU COM’s reform proposal for the EU ETS?</w:t>
      </w:r>
      <w:r w:rsidRPr="00D806D9">
        <w:rPr>
          <w:rFonts w:asciiTheme="majorBidi" w:hAnsiTheme="majorBidi" w:cstheme="majorBidi"/>
          <w:sz w:val="24"/>
          <w:szCs w:val="24"/>
          <w:lang w:val="en-US"/>
        </w:rPr>
        <w:t>. Institute of Energy Economics at the University of Cologne (EWI), EWI Working Paper, No 22/04</w:t>
      </w:r>
      <w:r w:rsidR="00646D08" w:rsidRPr="00D806D9">
        <w:rPr>
          <w:rFonts w:asciiTheme="majorBidi" w:hAnsiTheme="majorBidi" w:cstheme="majorBidi"/>
          <w:sz w:val="24"/>
          <w:szCs w:val="24"/>
          <w:lang w:val="en-US"/>
        </w:rPr>
        <w:t xml:space="preserve">. </w:t>
      </w:r>
      <w:hyperlink r:id="rId137" w:history="1">
        <w:r w:rsidR="00646D08" w:rsidRPr="00D806D9">
          <w:rPr>
            <w:rStyle w:val="Hyperlink"/>
            <w:rFonts w:asciiTheme="majorBidi" w:hAnsiTheme="majorBidi" w:cstheme="majorBidi"/>
            <w:sz w:val="24"/>
            <w:szCs w:val="24"/>
            <w:lang w:val="en-US"/>
          </w:rPr>
          <w:t>Link</w:t>
        </w:r>
      </w:hyperlink>
    </w:p>
    <w:sectPr w:rsidR="00256F34" w:rsidRPr="00D806D9" w:rsidSect="00B175BB">
      <w:footerReference w:type="default" r:id="rId138"/>
      <w:pgSz w:w="11906" w:h="16838"/>
      <w:pgMar w:top="1418" w:right="1134"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C80D" w14:textId="77777777" w:rsidR="00C32849" w:rsidRDefault="00C32849" w:rsidP="00112DE1">
      <w:pPr>
        <w:spacing w:after="0" w:line="240" w:lineRule="auto"/>
      </w:pPr>
      <w:r>
        <w:separator/>
      </w:r>
    </w:p>
  </w:endnote>
  <w:endnote w:type="continuationSeparator" w:id="0">
    <w:p w14:paraId="65BA3728" w14:textId="77777777" w:rsidR="00C32849" w:rsidRDefault="00C32849" w:rsidP="001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239099788"/>
      <w:docPartObj>
        <w:docPartGallery w:val="Page Numbers (Bottom of Page)"/>
        <w:docPartUnique/>
      </w:docPartObj>
    </w:sdtPr>
    <w:sdtEndPr>
      <w:rPr>
        <w:noProof/>
      </w:rPr>
    </w:sdtEndPr>
    <w:sdtContent>
      <w:p w14:paraId="3F4611F1" w14:textId="69623D8E" w:rsidR="00B175BB" w:rsidRPr="00B175BB" w:rsidRDefault="00B175BB">
        <w:pPr>
          <w:pStyle w:val="Footer"/>
          <w:jc w:val="right"/>
          <w:rPr>
            <w:rFonts w:asciiTheme="majorBidi" w:hAnsiTheme="majorBidi" w:cstheme="majorBidi"/>
          </w:rPr>
        </w:pPr>
        <w:r w:rsidRPr="00B175BB">
          <w:rPr>
            <w:rFonts w:asciiTheme="majorBidi" w:hAnsiTheme="majorBidi" w:cstheme="majorBidi"/>
          </w:rPr>
          <w:fldChar w:fldCharType="begin"/>
        </w:r>
        <w:r w:rsidRPr="00B175BB">
          <w:rPr>
            <w:rFonts w:asciiTheme="majorBidi" w:hAnsiTheme="majorBidi" w:cstheme="majorBidi"/>
          </w:rPr>
          <w:instrText xml:space="preserve"> PAGE   \* MERGEFORMAT </w:instrText>
        </w:r>
        <w:r w:rsidRPr="00B175BB">
          <w:rPr>
            <w:rFonts w:asciiTheme="majorBidi" w:hAnsiTheme="majorBidi" w:cstheme="majorBidi"/>
          </w:rPr>
          <w:fldChar w:fldCharType="separate"/>
        </w:r>
        <w:r w:rsidRPr="00B175BB">
          <w:rPr>
            <w:rFonts w:asciiTheme="majorBidi" w:hAnsiTheme="majorBidi" w:cstheme="majorBidi"/>
            <w:noProof/>
          </w:rPr>
          <w:t>2</w:t>
        </w:r>
        <w:r w:rsidRPr="00B175BB">
          <w:rPr>
            <w:rFonts w:asciiTheme="majorBidi" w:hAnsiTheme="majorBidi" w:cstheme="majorBidi"/>
            <w:noProof/>
          </w:rPr>
          <w:fldChar w:fldCharType="end"/>
        </w:r>
      </w:p>
    </w:sdtContent>
  </w:sdt>
  <w:p w14:paraId="0B6F56EE" w14:textId="77777777" w:rsidR="00B175BB" w:rsidRDefault="00B1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72E3" w14:textId="77777777" w:rsidR="00C32849" w:rsidRDefault="00C32849" w:rsidP="00112DE1">
      <w:pPr>
        <w:spacing w:after="0" w:line="240" w:lineRule="auto"/>
      </w:pPr>
      <w:r>
        <w:separator/>
      </w:r>
    </w:p>
  </w:footnote>
  <w:footnote w:type="continuationSeparator" w:id="0">
    <w:p w14:paraId="0893455F" w14:textId="77777777" w:rsidR="00C32849" w:rsidRDefault="00C32849" w:rsidP="00112DE1">
      <w:pPr>
        <w:spacing w:after="0" w:line="240" w:lineRule="auto"/>
      </w:pPr>
      <w:r>
        <w:continuationSeparator/>
      </w:r>
    </w:p>
  </w:footnote>
  <w:footnote w:id="1">
    <w:p w14:paraId="27932320" w14:textId="77777777" w:rsidR="0020390F" w:rsidRPr="0022024B" w:rsidRDefault="0020390F" w:rsidP="0020390F">
      <w:pPr>
        <w:pStyle w:val="FootnoteText"/>
        <w:jc w:val="both"/>
        <w:rPr>
          <w:rFonts w:asciiTheme="majorBidi" w:eastAsia="Times New Roman" w:hAnsiTheme="majorBidi" w:cstheme="majorBidi"/>
          <w:lang w:val="en-US"/>
        </w:rPr>
      </w:pPr>
      <w:r w:rsidRPr="00451D0B">
        <w:rPr>
          <w:rStyle w:val="FootnoteReference"/>
          <w:rFonts w:asciiTheme="majorBidi" w:hAnsiTheme="majorBidi" w:cstheme="majorBidi"/>
        </w:rPr>
        <w:footnoteRef/>
      </w:r>
      <w:r w:rsidRPr="00451D0B">
        <w:rPr>
          <w:rStyle w:val="FootnoteReference"/>
          <w:rFonts w:asciiTheme="majorBidi" w:hAnsiTheme="majorBidi" w:cstheme="majorBidi"/>
          <w:lang w:val="en-US"/>
        </w:rPr>
        <w:t xml:space="preserve"> </w:t>
      </w:r>
      <w:r w:rsidRPr="00451D0B">
        <w:rPr>
          <w:rFonts w:asciiTheme="majorBidi" w:eastAsia="Times New Roman" w:hAnsiTheme="majorBidi" w:cstheme="majorBidi"/>
          <w:lang w:val="en-US"/>
        </w:rPr>
        <w:t>As opposed to the production of hydrogen as an industrial co-product of reactions aimed at the</w:t>
      </w:r>
      <w:r w:rsidRPr="0022024B">
        <w:rPr>
          <w:rFonts w:asciiTheme="majorBidi" w:eastAsia="Times New Roman" w:hAnsiTheme="majorBidi" w:cstheme="majorBidi"/>
          <w:lang w:val="en-US"/>
        </w:rPr>
        <w:t xml:space="preserve"> production of other chemical elements</w:t>
      </w:r>
      <w:r>
        <w:rPr>
          <w:rFonts w:asciiTheme="majorBidi" w:eastAsia="Times New Roman" w:hAnsiTheme="majorBidi" w:cstheme="majorBidi"/>
          <w:lang w:val="en-US"/>
        </w:rPr>
        <w:t>.</w:t>
      </w:r>
    </w:p>
  </w:footnote>
  <w:footnote w:id="2">
    <w:p w14:paraId="6AEDE0B3" w14:textId="77777777" w:rsidR="00B17D4A" w:rsidRPr="0036407A" w:rsidRDefault="00B17D4A" w:rsidP="00B17D4A">
      <w:pPr>
        <w:pStyle w:val="FootnoteText"/>
        <w:rPr>
          <w:rFonts w:asciiTheme="majorBidi" w:hAnsiTheme="majorBidi" w:cstheme="majorBidi"/>
          <w:lang w:val="en-US"/>
        </w:rPr>
      </w:pPr>
      <w:r w:rsidRPr="00697428">
        <w:rPr>
          <w:rStyle w:val="FootnoteReference"/>
          <w:rFonts w:asciiTheme="majorBidi" w:hAnsiTheme="majorBidi" w:cstheme="majorBidi"/>
        </w:rPr>
        <w:footnoteRef/>
      </w:r>
      <w:r w:rsidRPr="0036407A">
        <w:rPr>
          <w:rFonts w:asciiTheme="majorBidi" w:hAnsiTheme="majorBidi" w:cstheme="majorBidi"/>
          <w:lang w:val="en-US"/>
        </w:rPr>
        <w:t xml:space="preserve"> That consumes heat</w:t>
      </w:r>
      <w:r>
        <w:rPr>
          <w:rFonts w:asciiTheme="majorBidi" w:hAnsiTheme="majorBidi" w:cstheme="majorBidi"/>
          <w:lang w:val="en-US"/>
        </w:rPr>
        <w:t>.</w:t>
      </w:r>
    </w:p>
  </w:footnote>
  <w:footnote w:id="3">
    <w:p w14:paraId="42D21389" w14:textId="77777777" w:rsidR="00B17D4A" w:rsidRPr="00D35779" w:rsidRDefault="00B17D4A" w:rsidP="00B17D4A">
      <w:pPr>
        <w:pStyle w:val="FootnoteText"/>
        <w:jc w:val="both"/>
        <w:rPr>
          <w:rFonts w:asciiTheme="majorBidi" w:hAnsiTheme="majorBidi" w:cstheme="majorBidi"/>
          <w:lang w:val="en-US"/>
        </w:rPr>
      </w:pPr>
      <w:r w:rsidRPr="00D35779">
        <w:rPr>
          <w:rStyle w:val="FootnoteReference"/>
          <w:rFonts w:asciiTheme="majorBidi" w:hAnsiTheme="majorBidi" w:cstheme="majorBidi"/>
        </w:rPr>
        <w:footnoteRef/>
      </w:r>
      <w:r w:rsidRPr="00D35779">
        <w:rPr>
          <w:rFonts w:asciiTheme="majorBidi" w:hAnsiTheme="majorBidi" w:cstheme="majorBidi"/>
          <w:lang w:val="en-US"/>
        </w:rPr>
        <w:t xml:space="preserve"> Battery in which the oxidation of hydrogen on one electrode coupled to the reduction on the other electrode of oxygen from the air allows the generation of electricity</w:t>
      </w:r>
    </w:p>
  </w:footnote>
  <w:footnote w:id="4">
    <w:p w14:paraId="104446D0" w14:textId="77777777" w:rsidR="00B17D4A" w:rsidRPr="00556283" w:rsidRDefault="00B17D4A" w:rsidP="00B17D4A">
      <w:pPr>
        <w:pStyle w:val="FootnoteText"/>
        <w:jc w:val="both"/>
        <w:rPr>
          <w:rFonts w:asciiTheme="majorBidi" w:hAnsiTheme="majorBidi" w:cstheme="majorBidi"/>
          <w:lang w:val="en-US"/>
        </w:rPr>
      </w:pPr>
      <w:r w:rsidRPr="00556283">
        <w:rPr>
          <w:rStyle w:val="FootnoteReference"/>
          <w:rFonts w:asciiTheme="majorBidi" w:hAnsiTheme="majorBidi" w:cstheme="majorBidi"/>
        </w:rPr>
        <w:footnoteRef/>
      </w:r>
      <w:r w:rsidRPr="00556283">
        <w:rPr>
          <w:rFonts w:asciiTheme="majorBidi" w:hAnsiTheme="majorBidi" w:cstheme="majorBidi"/>
          <w:lang w:val="en-US"/>
        </w:rPr>
        <w:t xml:space="preserve"> CO</w:t>
      </w:r>
      <w:r w:rsidRPr="00556283">
        <w:rPr>
          <w:rFonts w:asciiTheme="majorBidi" w:hAnsiTheme="majorBidi" w:cstheme="majorBidi"/>
          <w:vertAlign w:val="subscript"/>
          <w:lang w:val="en-US"/>
        </w:rPr>
        <w:t>2</w:t>
      </w:r>
      <w:r w:rsidRPr="00556283">
        <w:rPr>
          <w:rFonts w:asciiTheme="majorBidi" w:hAnsiTheme="majorBidi" w:cstheme="majorBidi"/>
          <w:lang w:val="en-US"/>
        </w:rPr>
        <w:t xml:space="preserve"> </w:t>
      </w:r>
      <w:r>
        <w:rPr>
          <w:rFonts w:asciiTheme="majorBidi" w:hAnsiTheme="majorBidi" w:cstheme="majorBidi"/>
          <w:lang w:val="en-US"/>
        </w:rPr>
        <w:t>f</w:t>
      </w:r>
      <w:r w:rsidRPr="00556283">
        <w:rPr>
          <w:rFonts w:asciiTheme="majorBidi" w:hAnsiTheme="majorBidi" w:cstheme="majorBidi"/>
          <w:lang w:val="en-US"/>
        </w:rPr>
        <w:t>luid state obtained when maintained above its critical temperature and pressure</w:t>
      </w:r>
      <w:r>
        <w:rPr>
          <w:rFonts w:asciiTheme="majorBidi" w:hAnsiTheme="majorBidi" w:cstheme="majorBidi"/>
          <w:lang w:val="en-US"/>
        </w:rPr>
        <w:t>.</w:t>
      </w:r>
    </w:p>
  </w:footnote>
  <w:footnote w:id="5">
    <w:p w14:paraId="2670D4E4" w14:textId="77777777" w:rsidR="00B05040" w:rsidRPr="001155E9" w:rsidRDefault="00B05040" w:rsidP="00B05040">
      <w:pPr>
        <w:pStyle w:val="FootnoteText"/>
        <w:rPr>
          <w:lang w:val="en-US"/>
        </w:rPr>
      </w:pPr>
      <w:r>
        <w:rPr>
          <w:rStyle w:val="FootnoteReference"/>
        </w:rPr>
        <w:footnoteRef/>
      </w:r>
      <w:r w:rsidRPr="001155E9">
        <w:rPr>
          <w:lang w:val="en-US"/>
        </w:rPr>
        <w:t xml:space="preserve"> Own translation from </w:t>
      </w:r>
      <w:r>
        <w:rPr>
          <w:lang w:val="en-US"/>
        </w:rPr>
        <w:t xml:space="preserve">original </w:t>
      </w:r>
      <w:r w:rsidRPr="001155E9">
        <w:rPr>
          <w:lang w:val="en-US"/>
        </w:rPr>
        <w:t>French</w:t>
      </w:r>
      <w:r>
        <w:rPr>
          <w:lang w:val="en-US"/>
        </w:rPr>
        <w:t xml:space="preserve"> text</w:t>
      </w:r>
    </w:p>
  </w:footnote>
  <w:footnote w:id="6">
    <w:p w14:paraId="021C17D0" w14:textId="77777777" w:rsidR="00B20DBD" w:rsidRPr="007129BE" w:rsidRDefault="00B20DBD" w:rsidP="00B20DBD">
      <w:pPr>
        <w:pStyle w:val="FootnoteText"/>
        <w:jc w:val="both"/>
        <w:rPr>
          <w:rFonts w:asciiTheme="majorBidi" w:hAnsiTheme="majorBidi" w:cstheme="majorBidi"/>
          <w:lang w:val="en-US"/>
        </w:rPr>
      </w:pPr>
      <w:r w:rsidRPr="007129BE">
        <w:rPr>
          <w:rFonts w:asciiTheme="majorBidi" w:hAnsiTheme="majorBidi" w:cstheme="majorBidi"/>
          <w:vertAlign w:val="superscript"/>
          <w:lang w:val="en-US"/>
        </w:rPr>
        <w:footnoteRef/>
      </w:r>
      <w:r w:rsidRPr="007129BE">
        <w:rPr>
          <w:rFonts w:asciiTheme="majorBidi" w:hAnsiTheme="majorBidi" w:cstheme="majorBidi"/>
          <w:lang w:val="en-US"/>
        </w:rPr>
        <w:t xml:space="preserve"> As per the </w:t>
      </w:r>
      <w:r>
        <w:rPr>
          <w:rFonts w:asciiTheme="majorBidi" w:hAnsiTheme="majorBidi" w:cstheme="majorBidi"/>
          <w:lang w:val="en-US"/>
        </w:rPr>
        <w:t>law</w:t>
      </w:r>
      <w:r w:rsidRPr="007129BE">
        <w:rPr>
          <w:rFonts w:asciiTheme="majorBidi" w:hAnsiTheme="majorBidi" w:cstheme="majorBidi"/>
          <w:lang w:val="en-US"/>
        </w:rPr>
        <w:t xml:space="preserve"> of conservation of energy, energy </w:t>
      </w:r>
      <w:r>
        <w:rPr>
          <w:rFonts w:asciiTheme="majorBidi" w:hAnsiTheme="majorBidi" w:cstheme="majorBidi"/>
          <w:lang w:val="en-US"/>
        </w:rPr>
        <w:t xml:space="preserve">in an isolated system is constant. The transformation from one energy carrier to another implies loses.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573"/>
    <w:multiLevelType w:val="multilevel"/>
    <w:tmpl w:val="6898EDB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5142F"/>
    <w:multiLevelType w:val="hybridMultilevel"/>
    <w:tmpl w:val="88AEFCF2"/>
    <w:lvl w:ilvl="0" w:tplc="EDBE3FB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20C4"/>
    <w:multiLevelType w:val="multilevel"/>
    <w:tmpl w:val="8ED2B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572A7"/>
    <w:multiLevelType w:val="multilevel"/>
    <w:tmpl w:val="7456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526E6"/>
    <w:multiLevelType w:val="multilevel"/>
    <w:tmpl w:val="E4E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03BF6"/>
    <w:multiLevelType w:val="multilevel"/>
    <w:tmpl w:val="1CD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9735E"/>
    <w:multiLevelType w:val="hybridMultilevel"/>
    <w:tmpl w:val="184C7624"/>
    <w:lvl w:ilvl="0" w:tplc="680E6B40">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D175AB9"/>
    <w:multiLevelType w:val="hybridMultilevel"/>
    <w:tmpl w:val="3E188A48"/>
    <w:lvl w:ilvl="0" w:tplc="4C54A4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144A7F"/>
    <w:multiLevelType w:val="hybridMultilevel"/>
    <w:tmpl w:val="71BCB042"/>
    <w:lvl w:ilvl="0" w:tplc="48E03152">
      <w:start w:val="15"/>
      <w:numFmt w:val="bullet"/>
      <w:lvlText w:val=""/>
      <w:lvlJc w:val="left"/>
      <w:pPr>
        <w:ind w:left="720" w:hanging="360"/>
      </w:pPr>
      <w:rPr>
        <w:rFonts w:ascii="Wingdings" w:eastAsiaTheme="minorHAnsi" w:hAnsi="Wingdings" w:cs="Arial" w:hint="default"/>
        <w:color w:val="444444"/>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1304AF"/>
    <w:multiLevelType w:val="hybridMultilevel"/>
    <w:tmpl w:val="EF1C88BA"/>
    <w:lvl w:ilvl="0" w:tplc="BEBA91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970E65"/>
    <w:multiLevelType w:val="multilevel"/>
    <w:tmpl w:val="EA9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979BE"/>
    <w:multiLevelType w:val="hybridMultilevel"/>
    <w:tmpl w:val="06508B20"/>
    <w:lvl w:ilvl="0" w:tplc="FF30572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F002DD"/>
    <w:multiLevelType w:val="multilevel"/>
    <w:tmpl w:val="1B3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F5D7D"/>
    <w:multiLevelType w:val="multilevel"/>
    <w:tmpl w:val="AD6A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C24277"/>
    <w:multiLevelType w:val="hybridMultilevel"/>
    <w:tmpl w:val="01602488"/>
    <w:lvl w:ilvl="0" w:tplc="D37E499A">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C56937"/>
    <w:multiLevelType w:val="multilevel"/>
    <w:tmpl w:val="5C4C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B463F4"/>
    <w:multiLevelType w:val="hybridMultilevel"/>
    <w:tmpl w:val="9B0A3D12"/>
    <w:lvl w:ilvl="0" w:tplc="F0FA70AA">
      <w:start w:val="1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CB46CC"/>
    <w:multiLevelType w:val="multilevel"/>
    <w:tmpl w:val="643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40553"/>
    <w:multiLevelType w:val="multilevel"/>
    <w:tmpl w:val="CCA4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92FA7"/>
    <w:multiLevelType w:val="hybridMultilevel"/>
    <w:tmpl w:val="16FE82EE"/>
    <w:lvl w:ilvl="0" w:tplc="E4A6437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4A5C30"/>
    <w:multiLevelType w:val="multilevel"/>
    <w:tmpl w:val="BE007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B4BA4"/>
    <w:multiLevelType w:val="hybridMultilevel"/>
    <w:tmpl w:val="EA64C25A"/>
    <w:lvl w:ilvl="0" w:tplc="474EC82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720B03"/>
    <w:multiLevelType w:val="multilevel"/>
    <w:tmpl w:val="50B2466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C666C5"/>
    <w:multiLevelType w:val="multilevel"/>
    <w:tmpl w:val="9C40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23549"/>
    <w:multiLevelType w:val="multilevel"/>
    <w:tmpl w:val="F55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0208E"/>
    <w:multiLevelType w:val="multilevel"/>
    <w:tmpl w:val="5366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6F21C8"/>
    <w:multiLevelType w:val="hybridMultilevel"/>
    <w:tmpl w:val="B0F092E2"/>
    <w:lvl w:ilvl="0" w:tplc="F39658B0">
      <w:start w:val="2"/>
      <w:numFmt w:val="bullet"/>
      <w:lvlText w:val="-"/>
      <w:lvlJc w:val="left"/>
      <w:pPr>
        <w:ind w:left="362" w:hanging="360"/>
      </w:pPr>
      <w:rPr>
        <w:rFonts w:ascii="Times New Roman" w:eastAsiaTheme="minorHAnsi" w:hAnsi="Times New Roman" w:cs="Times New Roman" w:hint="default"/>
      </w:rPr>
    </w:lvl>
    <w:lvl w:ilvl="1" w:tplc="040C0003">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num w:numId="1" w16cid:durableId="847404511">
    <w:abstractNumId w:val="13"/>
  </w:num>
  <w:num w:numId="2" w16cid:durableId="205720010">
    <w:abstractNumId w:val="17"/>
  </w:num>
  <w:num w:numId="3" w16cid:durableId="1457333826">
    <w:abstractNumId w:val="20"/>
    <w:lvlOverride w:ilvl="0">
      <w:lvl w:ilvl="0">
        <w:numFmt w:val="decimal"/>
        <w:lvlText w:val="%1."/>
        <w:lvlJc w:val="left"/>
      </w:lvl>
    </w:lvlOverride>
  </w:num>
  <w:num w:numId="4" w16cid:durableId="1641573799">
    <w:abstractNumId w:val="2"/>
    <w:lvlOverride w:ilvl="0">
      <w:lvl w:ilvl="0">
        <w:numFmt w:val="decimal"/>
        <w:lvlText w:val="%1."/>
        <w:lvlJc w:val="left"/>
      </w:lvl>
    </w:lvlOverride>
  </w:num>
  <w:num w:numId="5" w16cid:durableId="1015573644">
    <w:abstractNumId w:val="10"/>
  </w:num>
  <w:num w:numId="6" w16cid:durableId="2067602078">
    <w:abstractNumId w:val="15"/>
  </w:num>
  <w:num w:numId="7" w16cid:durableId="1356925116">
    <w:abstractNumId w:val="4"/>
  </w:num>
  <w:num w:numId="8" w16cid:durableId="1152406250">
    <w:abstractNumId w:val="6"/>
  </w:num>
  <w:num w:numId="9" w16cid:durableId="762149703">
    <w:abstractNumId w:val="21"/>
  </w:num>
  <w:num w:numId="10" w16cid:durableId="1884512463">
    <w:abstractNumId w:val="22"/>
  </w:num>
  <w:num w:numId="11" w16cid:durableId="1797678955">
    <w:abstractNumId w:val="9"/>
  </w:num>
  <w:num w:numId="12" w16cid:durableId="1276136758">
    <w:abstractNumId w:val="11"/>
  </w:num>
  <w:num w:numId="13" w16cid:durableId="1156649292">
    <w:abstractNumId w:val="19"/>
  </w:num>
  <w:num w:numId="14" w16cid:durableId="1390298487">
    <w:abstractNumId w:val="16"/>
  </w:num>
  <w:num w:numId="15" w16cid:durableId="374549594">
    <w:abstractNumId w:val="8"/>
  </w:num>
  <w:num w:numId="16" w16cid:durableId="874852808">
    <w:abstractNumId w:val="7"/>
  </w:num>
  <w:num w:numId="17" w16cid:durableId="79982681">
    <w:abstractNumId w:val="18"/>
  </w:num>
  <w:num w:numId="18" w16cid:durableId="1271669664">
    <w:abstractNumId w:val="3"/>
  </w:num>
  <w:num w:numId="19" w16cid:durableId="2089186923">
    <w:abstractNumId w:val="24"/>
  </w:num>
  <w:num w:numId="20" w16cid:durableId="967513749">
    <w:abstractNumId w:val="26"/>
  </w:num>
  <w:num w:numId="21" w16cid:durableId="299383231">
    <w:abstractNumId w:val="1"/>
  </w:num>
  <w:num w:numId="22" w16cid:durableId="642853623">
    <w:abstractNumId w:val="14"/>
  </w:num>
  <w:num w:numId="23" w16cid:durableId="992291874">
    <w:abstractNumId w:val="0"/>
  </w:num>
  <w:num w:numId="24" w16cid:durableId="447969779">
    <w:abstractNumId w:val="23"/>
  </w:num>
  <w:num w:numId="25" w16cid:durableId="830604388">
    <w:abstractNumId w:val="25"/>
  </w:num>
  <w:num w:numId="26" w16cid:durableId="408961055">
    <w:abstractNumId w:val="5"/>
  </w:num>
  <w:num w:numId="27" w16cid:durableId="5797516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E1"/>
    <w:rsid w:val="00003440"/>
    <w:rsid w:val="00005A40"/>
    <w:rsid w:val="00006142"/>
    <w:rsid w:val="00006C94"/>
    <w:rsid w:val="0001137C"/>
    <w:rsid w:val="00012C59"/>
    <w:rsid w:val="000151D8"/>
    <w:rsid w:val="0001569A"/>
    <w:rsid w:val="000206EE"/>
    <w:rsid w:val="00021CD4"/>
    <w:rsid w:val="000266D8"/>
    <w:rsid w:val="00031C81"/>
    <w:rsid w:val="0003342C"/>
    <w:rsid w:val="00033CF9"/>
    <w:rsid w:val="0003516E"/>
    <w:rsid w:val="00037E4F"/>
    <w:rsid w:val="00044033"/>
    <w:rsid w:val="00044C59"/>
    <w:rsid w:val="00053C3B"/>
    <w:rsid w:val="00057FB9"/>
    <w:rsid w:val="00060035"/>
    <w:rsid w:val="0006068D"/>
    <w:rsid w:val="0006421C"/>
    <w:rsid w:val="00066CA4"/>
    <w:rsid w:val="000727C7"/>
    <w:rsid w:val="000734D7"/>
    <w:rsid w:val="000749E6"/>
    <w:rsid w:val="00075C20"/>
    <w:rsid w:val="00077653"/>
    <w:rsid w:val="00077EF4"/>
    <w:rsid w:val="000813E7"/>
    <w:rsid w:val="0008234D"/>
    <w:rsid w:val="00082DAF"/>
    <w:rsid w:val="000830F9"/>
    <w:rsid w:val="000846F1"/>
    <w:rsid w:val="000870C9"/>
    <w:rsid w:val="000873F3"/>
    <w:rsid w:val="0009330A"/>
    <w:rsid w:val="00093A94"/>
    <w:rsid w:val="000976AE"/>
    <w:rsid w:val="00097F42"/>
    <w:rsid w:val="000A221C"/>
    <w:rsid w:val="000B063C"/>
    <w:rsid w:val="000B21F6"/>
    <w:rsid w:val="000B3148"/>
    <w:rsid w:val="000B4DEB"/>
    <w:rsid w:val="000B5F40"/>
    <w:rsid w:val="000B628F"/>
    <w:rsid w:val="000B7E9C"/>
    <w:rsid w:val="000B7F15"/>
    <w:rsid w:val="000C4D36"/>
    <w:rsid w:val="000C542B"/>
    <w:rsid w:val="000C543E"/>
    <w:rsid w:val="000C5851"/>
    <w:rsid w:val="000C6295"/>
    <w:rsid w:val="000C6629"/>
    <w:rsid w:val="000C70AE"/>
    <w:rsid w:val="000C7BA1"/>
    <w:rsid w:val="000D14A0"/>
    <w:rsid w:val="000D2B3F"/>
    <w:rsid w:val="000D7B92"/>
    <w:rsid w:val="000E165C"/>
    <w:rsid w:val="000E1937"/>
    <w:rsid w:val="000E5647"/>
    <w:rsid w:val="000E6196"/>
    <w:rsid w:val="000E6654"/>
    <w:rsid w:val="000F013A"/>
    <w:rsid w:val="001012D9"/>
    <w:rsid w:val="0010378B"/>
    <w:rsid w:val="001069AF"/>
    <w:rsid w:val="00110F56"/>
    <w:rsid w:val="0011140A"/>
    <w:rsid w:val="00112DE1"/>
    <w:rsid w:val="001137F1"/>
    <w:rsid w:val="00113A7A"/>
    <w:rsid w:val="001155E9"/>
    <w:rsid w:val="001201C0"/>
    <w:rsid w:val="0012436B"/>
    <w:rsid w:val="00125480"/>
    <w:rsid w:val="00126F4E"/>
    <w:rsid w:val="00127E73"/>
    <w:rsid w:val="001342A0"/>
    <w:rsid w:val="0013564D"/>
    <w:rsid w:val="001414D2"/>
    <w:rsid w:val="00141B38"/>
    <w:rsid w:val="0014264A"/>
    <w:rsid w:val="00145043"/>
    <w:rsid w:val="00145A9F"/>
    <w:rsid w:val="00151723"/>
    <w:rsid w:val="00152714"/>
    <w:rsid w:val="00152D11"/>
    <w:rsid w:val="001559E4"/>
    <w:rsid w:val="0016001B"/>
    <w:rsid w:val="0016391D"/>
    <w:rsid w:val="00164395"/>
    <w:rsid w:val="0016738B"/>
    <w:rsid w:val="00173C36"/>
    <w:rsid w:val="001824B4"/>
    <w:rsid w:val="0018334B"/>
    <w:rsid w:val="00184BEC"/>
    <w:rsid w:val="00187D7E"/>
    <w:rsid w:val="00193710"/>
    <w:rsid w:val="00195839"/>
    <w:rsid w:val="00195E85"/>
    <w:rsid w:val="001A10AC"/>
    <w:rsid w:val="001A2528"/>
    <w:rsid w:val="001A2E0E"/>
    <w:rsid w:val="001A3F3C"/>
    <w:rsid w:val="001A40FE"/>
    <w:rsid w:val="001A5350"/>
    <w:rsid w:val="001A65AF"/>
    <w:rsid w:val="001B1C3A"/>
    <w:rsid w:val="001B5333"/>
    <w:rsid w:val="001B6889"/>
    <w:rsid w:val="001C170F"/>
    <w:rsid w:val="001C2413"/>
    <w:rsid w:val="001D30A7"/>
    <w:rsid w:val="001D49D5"/>
    <w:rsid w:val="001D6126"/>
    <w:rsid w:val="001D7188"/>
    <w:rsid w:val="001E16E9"/>
    <w:rsid w:val="001E2136"/>
    <w:rsid w:val="001E2873"/>
    <w:rsid w:val="001E2BCF"/>
    <w:rsid w:val="001E40D8"/>
    <w:rsid w:val="001E561F"/>
    <w:rsid w:val="001E7C37"/>
    <w:rsid w:val="001F0C70"/>
    <w:rsid w:val="001F135A"/>
    <w:rsid w:val="001F31DC"/>
    <w:rsid w:val="001F4499"/>
    <w:rsid w:val="001F47C1"/>
    <w:rsid w:val="001F49D3"/>
    <w:rsid w:val="001F6F00"/>
    <w:rsid w:val="0020390F"/>
    <w:rsid w:val="00204CBD"/>
    <w:rsid w:val="002061F4"/>
    <w:rsid w:val="0021157F"/>
    <w:rsid w:val="002129F4"/>
    <w:rsid w:val="00213B58"/>
    <w:rsid w:val="00214913"/>
    <w:rsid w:val="00215560"/>
    <w:rsid w:val="00215707"/>
    <w:rsid w:val="0021653F"/>
    <w:rsid w:val="0022024B"/>
    <w:rsid w:val="00221FE8"/>
    <w:rsid w:val="00224F26"/>
    <w:rsid w:val="0022568D"/>
    <w:rsid w:val="00225757"/>
    <w:rsid w:val="00226EC3"/>
    <w:rsid w:val="002274F5"/>
    <w:rsid w:val="00227BC8"/>
    <w:rsid w:val="002306F0"/>
    <w:rsid w:val="00231ACD"/>
    <w:rsid w:val="00232687"/>
    <w:rsid w:val="00233E6A"/>
    <w:rsid w:val="00234DB2"/>
    <w:rsid w:val="00237677"/>
    <w:rsid w:val="002379CE"/>
    <w:rsid w:val="002401FA"/>
    <w:rsid w:val="00240B4D"/>
    <w:rsid w:val="002410DB"/>
    <w:rsid w:val="00241D29"/>
    <w:rsid w:val="00242CCE"/>
    <w:rsid w:val="002443F7"/>
    <w:rsid w:val="00244B34"/>
    <w:rsid w:val="0024561A"/>
    <w:rsid w:val="00251BBE"/>
    <w:rsid w:val="002526CB"/>
    <w:rsid w:val="002528D1"/>
    <w:rsid w:val="00253D97"/>
    <w:rsid w:val="00256490"/>
    <w:rsid w:val="00256F34"/>
    <w:rsid w:val="00267BF6"/>
    <w:rsid w:val="00267D77"/>
    <w:rsid w:val="0027022A"/>
    <w:rsid w:val="00270969"/>
    <w:rsid w:val="00276A13"/>
    <w:rsid w:val="002774C3"/>
    <w:rsid w:val="00277865"/>
    <w:rsid w:val="00280755"/>
    <w:rsid w:val="002819AE"/>
    <w:rsid w:val="00281B87"/>
    <w:rsid w:val="00284409"/>
    <w:rsid w:val="00286AB4"/>
    <w:rsid w:val="00286D84"/>
    <w:rsid w:val="002872EB"/>
    <w:rsid w:val="002913B4"/>
    <w:rsid w:val="00292AA2"/>
    <w:rsid w:val="00295581"/>
    <w:rsid w:val="00295711"/>
    <w:rsid w:val="002973CA"/>
    <w:rsid w:val="002A6E99"/>
    <w:rsid w:val="002A7EF2"/>
    <w:rsid w:val="002B1E02"/>
    <w:rsid w:val="002B46DC"/>
    <w:rsid w:val="002B5983"/>
    <w:rsid w:val="002B5F7F"/>
    <w:rsid w:val="002B66F5"/>
    <w:rsid w:val="002B7517"/>
    <w:rsid w:val="002C15D9"/>
    <w:rsid w:val="002C2F53"/>
    <w:rsid w:val="002C731B"/>
    <w:rsid w:val="002D1A79"/>
    <w:rsid w:val="002D2DD5"/>
    <w:rsid w:val="002D2ED0"/>
    <w:rsid w:val="002D4C4B"/>
    <w:rsid w:val="002D5E00"/>
    <w:rsid w:val="002E2C46"/>
    <w:rsid w:val="002E2C8E"/>
    <w:rsid w:val="002E3CD5"/>
    <w:rsid w:val="002E41D5"/>
    <w:rsid w:val="002E7DD6"/>
    <w:rsid w:val="002E7FE0"/>
    <w:rsid w:val="002F17A1"/>
    <w:rsid w:val="002F348D"/>
    <w:rsid w:val="002F3FE8"/>
    <w:rsid w:val="002F4CB1"/>
    <w:rsid w:val="00301974"/>
    <w:rsid w:val="003019BE"/>
    <w:rsid w:val="0030457C"/>
    <w:rsid w:val="003065DB"/>
    <w:rsid w:val="00307834"/>
    <w:rsid w:val="00307B38"/>
    <w:rsid w:val="003105E7"/>
    <w:rsid w:val="003114AF"/>
    <w:rsid w:val="00316693"/>
    <w:rsid w:val="003172F1"/>
    <w:rsid w:val="0031736C"/>
    <w:rsid w:val="0032122B"/>
    <w:rsid w:val="003236D4"/>
    <w:rsid w:val="00326AEE"/>
    <w:rsid w:val="00326C75"/>
    <w:rsid w:val="003311C4"/>
    <w:rsid w:val="00331490"/>
    <w:rsid w:val="00333B6E"/>
    <w:rsid w:val="0033516B"/>
    <w:rsid w:val="00341F32"/>
    <w:rsid w:val="00346143"/>
    <w:rsid w:val="00353F5D"/>
    <w:rsid w:val="003542C7"/>
    <w:rsid w:val="00360EA7"/>
    <w:rsid w:val="00362572"/>
    <w:rsid w:val="0036407A"/>
    <w:rsid w:val="00364977"/>
    <w:rsid w:val="00367111"/>
    <w:rsid w:val="003675EC"/>
    <w:rsid w:val="003679C6"/>
    <w:rsid w:val="00367E30"/>
    <w:rsid w:val="00367F6B"/>
    <w:rsid w:val="00371F2A"/>
    <w:rsid w:val="00374355"/>
    <w:rsid w:val="00377504"/>
    <w:rsid w:val="003779FE"/>
    <w:rsid w:val="003845C0"/>
    <w:rsid w:val="0039059B"/>
    <w:rsid w:val="00390809"/>
    <w:rsid w:val="00392C96"/>
    <w:rsid w:val="00394665"/>
    <w:rsid w:val="00395C63"/>
    <w:rsid w:val="00396E80"/>
    <w:rsid w:val="0039714C"/>
    <w:rsid w:val="00397B73"/>
    <w:rsid w:val="003A16D9"/>
    <w:rsid w:val="003A1790"/>
    <w:rsid w:val="003A4322"/>
    <w:rsid w:val="003A4D17"/>
    <w:rsid w:val="003A6F0E"/>
    <w:rsid w:val="003C1AE2"/>
    <w:rsid w:val="003C2E6D"/>
    <w:rsid w:val="003C359A"/>
    <w:rsid w:val="003C3D48"/>
    <w:rsid w:val="003C479F"/>
    <w:rsid w:val="003C5553"/>
    <w:rsid w:val="003C743B"/>
    <w:rsid w:val="003D1423"/>
    <w:rsid w:val="003D22CC"/>
    <w:rsid w:val="003D22F6"/>
    <w:rsid w:val="003D6186"/>
    <w:rsid w:val="003D73C4"/>
    <w:rsid w:val="003E1889"/>
    <w:rsid w:val="003E21E8"/>
    <w:rsid w:val="003E2DE7"/>
    <w:rsid w:val="003E3E5B"/>
    <w:rsid w:val="003E49AA"/>
    <w:rsid w:val="003E7716"/>
    <w:rsid w:val="003F07D0"/>
    <w:rsid w:val="003F0F65"/>
    <w:rsid w:val="003F1EE3"/>
    <w:rsid w:val="003F301C"/>
    <w:rsid w:val="003F4418"/>
    <w:rsid w:val="003F47F7"/>
    <w:rsid w:val="004025B3"/>
    <w:rsid w:val="00403F0B"/>
    <w:rsid w:val="00404004"/>
    <w:rsid w:val="00404511"/>
    <w:rsid w:val="00411EFD"/>
    <w:rsid w:val="00412BC8"/>
    <w:rsid w:val="0041328D"/>
    <w:rsid w:val="00413413"/>
    <w:rsid w:val="00413B1C"/>
    <w:rsid w:val="00414C76"/>
    <w:rsid w:val="0041566E"/>
    <w:rsid w:val="00417F82"/>
    <w:rsid w:val="004224C3"/>
    <w:rsid w:val="00422AB2"/>
    <w:rsid w:val="0042301F"/>
    <w:rsid w:val="00423ED5"/>
    <w:rsid w:val="00426B8A"/>
    <w:rsid w:val="00430213"/>
    <w:rsid w:val="00431913"/>
    <w:rsid w:val="00431B75"/>
    <w:rsid w:val="0043255A"/>
    <w:rsid w:val="00433255"/>
    <w:rsid w:val="0043651B"/>
    <w:rsid w:val="0043784E"/>
    <w:rsid w:val="004410CE"/>
    <w:rsid w:val="004417A3"/>
    <w:rsid w:val="00441C97"/>
    <w:rsid w:val="00443E4C"/>
    <w:rsid w:val="00444FFC"/>
    <w:rsid w:val="0044734C"/>
    <w:rsid w:val="004476C0"/>
    <w:rsid w:val="00450077"/>
    <w:rsid w:val="00451D0B"/>
    <w:rsid w:val="0045324D"/>
    <w:rsid w:val="0045534D"/>
    <w:rsid w:val="004559B4"/>
    <w:rsid w:val="00457176"/>
    <w:rsid w:val="0046124C"/>
    <w:rsid w:val="00461392"/>
    <w:rsid w:val="00464B42"/>
    <w:rsid w:val="00466993"/>
    <w:rsid w:val="00466AF0"/>
    <w:rsid w:val="004714A1"/>
    <w:rsid w:val="00471FC1"/>
    <w:rsid w:val="004730E5"/>
    <w:rsid w:val="00473430"/>
    <w:rsid w:val="00473B15"/>
    <w:rsid w:val="004744CB"/>
    <w:rsid w:val="00475173"/>
    <w:rsid w:val="00481FD4"/>
    <w:rsid w:val="00482078"/>
    <w:rsid w:val="004842A2"/>
    <w:rsid w:val="00490295"/>
    <w:rsid w:val="00493436"/>
    <w:rsid w:val="00494F88"/>
    <w:rsid w:val="004A2B9B"/>
    <w:rsid w:val="004A2E25"/>
    <w:rsid w:val="004A2E30"/>
    <w:rsid w:val="004A4A9A"/>
    <w:rsid w:val="004A4F8B"/>
    <w:rsid w:val="004B0411"/>
    <w:rsid w:val="004B6212"/>
    <w:rsid w:val="004B79DF"/>
    <w:rsid w:val="004C00B2"/>
    <w:rsid w:val="004C2064"/>
    <w:rsid w:val="004C2767"/>
    <w:rsid w:val="004C3808"/>
    <w:rsid w:val="004C453C"/>
    <w:rsid w:val="004C4612"/>
    <w:rsid w:val="004C71FD"/>
    <w:rsid w:val="004D0006"/>
    <w:rsid w:val="004D0341"/>
    <w:rsid w:val="004D3019"/>
    <w:rsid w:val="004D6EB8"/>
    <w:rsid w:val="004E17BC"/>
    <w:rsid w:val="004E3666"/>
    <w:rsid w:val="004E3759"/>
    <w:rsid w:val="004F0AFD"/>
    <w:rsid w:val="004F2C08"/>
    <w:rsid w:val="004F4AB3"/>
    <w:rsid w:val="004F4C7F"/>
    <w:rsid w:val="004F59F1"/>
    <w:rsid w:val="004F5F58"/>
    <w:rsid w:val="0050001F"/>
    <w:rsid w:val="00502E72"/>
    <w:rsid w:val="00507353"/>
    <w:rsid w:val="005108F1"/>
    <w:rsid w:val="00515E43"/>
    <w:rsid w:val="005170B3"/>
    <w:rsid w:val="00520606"/>
    <w:rsid w:val="005215B6"/>
    <w:rsid w:val="00523A03"/>
    <w:rsid w:val="00530DA6"/>
    <w:rsid w:val="005352FA"/>
    <w:rsid w:val="005373A1"/>
    <w:rsid w:val="00537F72"/>
    <w:rsid w:val="00540115"/>
    <w:rsid w:val="00540C33"/>
    <w:rsid w:val="00545765"/>
    <w:rsid w:val="00547D93"/>
    <w:rsid w:val="0055088B"/>
    <w:rsid w:val="00550A89"/>
    <w:rsid w:val="00550C07"/>
    <w:rsid w:val="005510FE"/>
    <w:rsid w:val="0055513C"/>
    <w:rsid w:val="00556283"/>
    <w:rsid w:val="005606B4"/>
    <w:rsid w:val="00563ED1"/>
    <w:rsid w:val="00564A47"/>
    <w:rsid w:val="005700E1"/>
    <w:rsid w:val="00571D1D"/>
    <w:rsid w:val="00572DBD"/>
    <w:rsid w:val="0057344C"/>
    <w:rsid w:val="0057382F"/>
    <w:rsid w:val="00576084"/>
    <w:rsid w:val="00576503"/>
    <w:rsid w:val="00576FA0"/>
    <w:rsid w:val="00577ADD"/>
    <w:rsid w:val="00580C0C"/>
    <w:rsid w:val="005813BB"/>
    <w:rsid w:val="00581860"/>
    <w:rsid w:val="00586115"/>
    <w:rsid w:val="0058631C"/>
    <w:rsid w:val="005903DA"/>
    <w:rsid w:val="00591EB1"/>
    <w:rsid w:val="00595C52"/>
    <w:rsid w:val="00596076"/>
    <w:rsid w:val="00596A0C"/>
    <w:rsid w:val="00597764"/>
    <w:rsid w:val="005A07A2"/>
    <w:rsid w:val="005A1074"/>
    <w:rsid w:val="005A1EBE"/>
    <w:rsid w:val="005A42A3"/>
    <w:rsid w:val="005B07FB"/>
    <w:rsid w:val="005B3B9F"/>
    <w:rsid w:val="005B3FF1"/>
    <w:rsid w:val="005B5157"/>
    <w:rsid w:val="005B549C"/>
    <w:rsid w:val="005B5AFE"/>
    <w:rsid w:val="005B7BA3"/>
    <w:rsid w:val="005C17F7"/>
    <w:rsid w:val="005C7BE4"/>
    <w:rsid w:val="005C7DD3"/>
    <w:rsid w:val="005D04B1"/>
    <w:rsid w:val="005D1ADE"/>
    <w:rsid w:val="005D3995"/>
    <w:rsid w:val="005D6232"/>
    <w:rsid w:val="005D6D54"/>
    <w:rsid w:val="005D7BB0"/>
    <w:rsid w:val="005E06F5"/>
    <w:rsid w:val="005E2C10"/>
    <w:rsid w:val="005E3076"/>
    <w:rsid w:val="005E31A1"/>
    <w:rsid w:val="005E3F30"/>
    <w:rsid w:val="005E4430"/>
    <w:rsid w:val="005E4B24"/>
    <w:rsid w:val="005E6296"/>
    <w:rsid w:val="005E7585"/>
    <w:rsid w:val="005F34D9"/>
    <w:rsid w:val="005F480B"/>
    <w:rsid w:val="005F7201"/>
    <w:rsid w:val="00602530"/>
    <w:rsid w:val="006034C4"/>
    <w:rsid w:val="006036F1"/>
    <w:rsid w:val="00604A46"/>
    <w:rsid w:val="0060555B"/>
    <w:rsid w:val="00605A64"/>
    <w:rsid w:val="006066A7"/>
    <w:rsid w:val="00610DF1"/>
    <w:rsid w:val="00614BB6"/>
    <w:rsid w:val="00614E8D"/>
    <w:rsid w:val="0061572C"/>
    <w:rsid w:val="00616D56"/>
    <w:rsid w:val="0062004E"/>
    <w:rsid w:val="0062066C"/>
    <w:rsid w:val="00620A32"/>
    <w:rsid w:val="00623449"/>
    <w:rsid w:val="00623C59"/>
    <w:rsid w:val="0063022B"/>
    <w:rsid w:val="006326A3"/>
    <w:rsid w:val="00633355"/>
    <w:rsid w:val="00633A22"/>
    <w:rsid w:val="00634551"/>
    <w:rsid w:val="00634989"/>
    <w:rsid w:val="0063532D"/>
    <w:rsid w:val="0063728A"/>
    <w:rsid w:val="00637E64"/>
    <w:rsid w:val="00641BC4"/>
    <w:rsid w:val="00645DD8"/>
    <w:rsid w:val="00646D08"/>
    <w:rsid w:val="00647C06"/>
    <w:rsid w:val="00650494"/>
    <w:rsid w:val="00650AA5"/>
    <w:rsid w:val="00653222"/>
    <w:rsid w:val="00654773"/>
    <w:rsid w:val="00655398"/>
    <w:rsid w:val="006559C4"/>
    <w:rsid w:val="00655B8F"/>
    <w:rsid w:val="00655E99"/>
    <w:rsid w:val="006600CB"/>
    <w:rsid w:val="006601B4"/>
    <w:rsid w:val="00661D67"/>
    <w:rsid w:val="006645F3"/>
    <w:rsid w:val="006663A6"/>
    <w:rsid w:val="00667CA2"/>
    <w:rsid w:val="006706C7"/>
    <w:rsid w:val="00675146"/>
    <w:rsid w:val="0067594E"/>
    <w:rsid w:val="006837F1"/>
    <w:rsid w:val="0068594C"/>
    <w:rsid w:val="0069046B"/>
    <w:rsid w:val="0069177B"/>
    <w:rsid w:val="00691B7F"/>
    <w:rsid w:val="00693070"/>
    <w:rsid w:val="00694555"/>
    <w:rsid w:val="0069639D"/>
    <w:rsid w:val="006966A0"/>
    <w:rsid w:val="00696831"/>
    <w:rsid w:val="00697428"/>
    <w:rsid w:val="00697FFA"/>
    <w:rsid w:val="006A4C46"/>
    <w:rsid w:val="006A632C"/>
    <w:rsid w:val="006A7103"/>
    <w:rsid w:val="006B0ADE"/>
    <w:rsid w:val="006B0E2C"/>
    <w:rsid w:val="006B3AC5"/>
    <w:rsid w:val="006B6E65"/>
    <w:rsid w:val="006C1D98"/>
    <w:rsid w:val="006C24CB"/>
    <w:rsid w:val="006C4873"/>
    <w:rsid w:val="006C64AB"/>
    <w:rsid w:val="006D1104"/>
    <w:rsid w:val="006D3AED"/>
    <w:rsid w:val="006E16D5"/>
    <w:rsid w:val="006E353E"/>
    <w:rsid w:val="006E3BE7"/>
    <w:rsid w:val="006E41D5"/>
    <w:rsid w:val="006E48F8"/>
    <w:rsid w:val="006E65AD"/>
    <w:rsid w:val="006E6E69"/>
    <w:rsid w:val="006E716D"/>
    <w:rsid w:val="006E77A0"/>
    <w:rsid w:val="006E7AF8"/>
    <w:rsid w:val="006F242D"/>
    <w:rsid w:val="006F5AC1"/>
    <w:rsid w:val="006F7096"/>
    <w:rsid w:val="006F7636"/>
    <w:rsid w:val="00700172"/>
    <w:rsid w:val="0070036F"/>
    <w:rsid w:val="007060B6"/>
    <w:rsid w:val="007129BE"/>
    <w:rsid w:val="007133C7"/>
    <w:rsid w:val="00717086"/>
    <w:rsid w:val="00720E9E"/>
    <w:rsid w:val="007250DB"/>
    <w:rsid w:val="00726FEE"/>
    <w:rsid w:val="00730ABA"/>
    <w:rsid w:val="00737659"/>
    <w:rsid w:val="007414A7"/>
    <w:rsid w:val="00742100"/>
    <w:rsid w:val="00742822"/>
    <w:rsid w:val="00744BA7"/>
    <w:rsid w:val="007479E0"/>
    <w:rsid w:val="00750EEB"/>
    <w:rsid w:val="00756DD8"/>
    <w:rsid w:val="007601C5"/>
    <w:rsid w:val="0076094C"/>
    <w:rsid w:val="00761A6C"/>
    <w:rsid w:val="007642C6"/>
    <w:rsid w:val="00764BE7"/>
    <w:rsid w:val="00771EF4"/>
    <w:rsid w:val="00773132"/>
    <w:rsid w:val="00775F2F"/>
    <w:rsid w:val="00776F93"/>
    <w:rsid w:val="00777FC4"/>
    <w:rsid w:val="00784FF7"/>
    <w:rsid w:val="00785BF1"/>
    <w:rsid w:val="0079193D"/>
    <w:rsid w:val="00796875"/>
    <w:rsid w:val="007A16C6"/>
    <w:rsid w:val="007A472E"/>
    <w:rsid w:val="007A484E"/>
    <w:rsid w:val="007B112E"/>
    <w:rsid w:val="007B3FB6"/>
    <w:rsid w:val="007B4DB9"/>
    <w:rsid w:val="007B4DDD"/>
    <w:rsid w:val="007B51CD"/>
    <w:rsid w:val="007B5B83"/>
    <w:rsid w:val="007B71B9"/>
    <w:rsid w:val="007C0568"/>
    <w:rsid w:val="007C274C"/>
    <w:rsid w:val="007C2B5E"/>
    <w:rsid w:val="007C4A16"/>
    <w:rsid w:val="007C5335"/>
    <w:rsid w:val="007D141C"/>
    <w:rsid w:val="007D1D84"/>
    <w:rsid w:val="007D36A9"/>
    <w:rsid w:val="007D4A5A"/>
    <w:rsid w:val="007D5D77"/>
    <w:rsid w:val="007E3269"/>
    <w:rsid w:val="007E3D75"/>
    <w:rsid w:val="007E4C0D"/>
    <w:rsid w:val="007E7BD2"/>
    <w:rsid w:val="007F46B9"/>
    <w:rsid w:val="0080153C"/>
    <w:rsid w:val="00803239"/>
    <w:rsid w:val="00806D44"/>
    <w:rsid w:val="00810F64"/>
    <w:rsid w:val="00811030"/>
    <w:rsid w:val="0081519C"/>
    <w:rsid w:val="00821314"/>
    <w:rsid w:val="00826249"/>
    <w:rsid w:val="00827AC5"/>
    <w:rsid w:val="00827FDF"/>
    <w:rsid w:val="0083208D"/>
    <w:rsid w:val="00837868"/>
    <w:rsid w:val="00840BBA"/>
    <w:rsid w:val="00842515"/>
    <w:rsid w:val="0084281B"/>
    <w:rsid w:val="00842A61"/>
    <w:rsid w:val="00842EF3"/>
    <w:rsid w:val="008445AD"/>
    <w:rsid w:val="00847E8F"/>
    <w:rsid w:val="00850140"/>
    <w:rsid w:val="0085056E"/>
    <w:rsid w:val="0085303C"/>
    <w:rsid w:val="008533F1"/>
    <w:rsid w:val="00853A83"/>
    <w:rsid w:val="00856E48"/>
    <w:rsid w:val="00860F12"/>
    <w:rsid w:val="00861CD9"/>
    <w:rsid w:val="00862580"/>
    <w:rsid w:val="00863096"/>
    <w:rsid w:val="00863FEF"/>
    <w:rsid w:val="008651D6"/>
    <w:rsid w:val="00866BE1"/>
    <w:rsid w:val="00871757"/>
    <w:rsid w:val="00871893"/>
    <w:rsid w:val="008721D2"/>
    <w:rsid w:val="0087345D"/>
    <w:rsid w:val="00875A4A"/>
    <w:rsid w:val="00875B6F"/>
    <w:rsid w:val="00891795"/>
    <w:rsid w:val="00891ADC"/>
    <w:rsid w:val="00894611"/>
    <w:rsid w:val="008A1D09"/>
    <w:rsid w:val="008A2029"/>
    <w:rsid w:val="008A3548"/>
    <w:rsid w:val="008A42A8"/>
    <w:rsid w:val="008A43EC"/>
    <w:rsid w:val="008A5280"/>
    <w:rsid w:val="008A580E"/>
    <w:rsid w:val="008A7E51"/>
    <w:rsid w:val="008B14EE"/>
    <w:rsid w:val="008B1CC1"/>
    <w:rsid w:val="008B1CEF"/>
    <w:rsid w:val="008B6F73"/>
    <w:rsid w:val="008B7028"/>
    <w:rsid w:val="008C0AB3"/>
    <w:rsid w:val="008C33DA"/>
    <w:rsid w:val="008C6A42"/>
    <w:rsid w:val="008D034F"/>
    <w:rsid w:val="008D097B"/>
    <w:rsid w:val="008D290D"/>
    <w:rsid w:val="008D301A"/>
    <w:rsid w:val="008D323B"/>
    <w:rsid w:val="008D647E"/>
    <w:rsid w:val="008E1359"/>
    <w:rsid w:val="008E3627"/>
    <w:rsid w:val="008E3F45"/>
    <w:rsid w:val="008E4B52"/>
    <w:rsid w:val="008E4D8D"/>
    <w:rsid w:val="008E4FE4"/>
    <w:rsid w:val="008F010A"/>
    <w:rsid w:val="008F069A"/>
    <w:rsid w:val="008F3D3F"/>
    <w:rsid w:val="008F4D32"/>
    <w:rsid w:val="008F563C"/>
    <w:rsid w:val="008F6F2C"/>
    <w:rsid w:val="0090048A"/>
    <w:rsid w:val="00901798"/>
    <w:rsid w:val="0090308C"/>
    <w:rsid w:val="009054F1"/>
    <w:rsid w:val="00905511"/>
    <w:rsid w:val="009062A9"/>
    <w:rsid w:val="00910FDA"/>
    <w:rsid w:val="009139CE"/>
    <w:rsid w:val="00915A3B"/>
    <w:rsid w:val="00915BE6"/>
    <w:rsid w:val="009225FC"/>
    <w:rsid w:val="00923BEE"/>
    <w:rsid w:val="009246CF"/>
    <w:rsid w:val="00926B4A"/>
    <w:rsid w:val="00931464"/>
    <w:rsid w:val="009349A8"/>
    <w:rsid w:val="00935086"/>
    <w:rsid w:val="00945A5E"/>
    <w:rsid w:val="009470E2"/>
    <w:rsid w:val="00947A6A"/>
    <w:rsid w:val="009508B1"/>
    <w:rsid w:val="009549B6"/>
    <w:rsid w:val="00955911"/>
    <w:rsid w:val="00957D5A"/>
    <w:rsid w:val="009614CB"/>
    <w:rsid w:val="009639D1"/>
    <w:rsid w:val="00964BB3"/>
    <w:rsid w:val="00980135"/>
    <w:rsid w:val="009842AC"/>
    <w:rsid w:val="00984A7D"/>
    <w:rsid w:val="0098657C"/>
    <w:rsid w:val="00986DC8"/>
    <w:rsid w:val="00994298"/>
    <w:rsid w:val="00994D58"/>
    <w:rsid w:val="00995F98"/>
    <w:rsid w:val="009967EC"/>
    <w:rsid w:val="009A2D37"/>
    <w:rsid w:val="009A5A53"/>
    <w:rsid w:val="009B0ACD"/>
    <w:rsid w:val="009B0F37"/>
    <w:rsid w:val="009B2E1D"/>
    <w:rsid w:val="009B3E79"/>
    <w:rsid w:val="009B416F"/>
    <w:rsid w:val="009B42AC"/>
    <w:rsid w:val="009B70CE"/>
    <w:rsid w:val="009C5792"/>
    <w:rsid w:val="009C721B"/>
    <w:rsid w:val="009D2C70"/>
    <w:rsid w:val="009D5CBC"/>
    <w:rsid w:val="009E1ADF"/>
    <w:rsid w:val="009E515A"/>
    <w:rsid w:val="009E6060"/>
    <w:rsid w:val="009F0261"/>
    <w:rsid w:val="009F04BC"/>
    <w:rsid w:val="009F0C04"/>
    <w:rsid w:val="009F54D0"/>
    <w:rsid w:val="009F76AB"/>
    <w:rsid w:val="00A00E12"/>
    <w:rsid w:val="00A0232E"/>
    <w:rsid w:val="00A02788"/>
    <w:rsid w:val="00A05350"/>
    <w:rsid w:val="00A06060"/>
    <w:rsid w:val="00A11B64"/>
    <w:rsid w:val="00A12349"/>
    <w:rsid w:val="00A1401F"/>
    <w:rsid w:val="00A15E44"/>
    <w:rsid w:val="00A16B70"/>
    <w:rsid w:val="00A17F52"/>
    <w:rsid w:val="00A17FDE"/>
    <w:rsid w:val="00A20294"/>
    <w:rsid w:val="00A2256D"/>
    <w:rsid w:val="00A23312"/>
    <w:rsid w:val="00A26CFE"/>
    <w:rsid w:val="00A34676"/>
    <w:rsid w:val="00A36F52"/>
    <w:rsid w:val="00A4151F"/>
    <w:rsid w:val="00A424DC"/>
    <w:rsid w:val="00A528D1"/>
    <w:rsid w:val="00A55B0D"/>
    <w:rsid w:val="00A5613C"/>
    <w:rsid w:val="00A56156"/>
    <w:rsid w:val="00A56E8A"/>
    <w:rsid w:val="00A66C73"/>
    <w:rsid w:val="00A71EDA"/>
    <w:rsid w:val="00A72596"/>
    <w:rsid w:val="00A768C7"/>
    <w:rsid w:val="00A811D0"/>
    <w:rsid w:val="00A8157A"/>
    <w:rsid w:val="00A81583"/>
    <w:rsid w:val="00A82ED7"/>
    <w:rsid w:val="00A84275"/>
    <w:rsid w:val="00A90C7B"/>
    <w:rsid w:val="00A9239D"/>
    <w:rsid w:val="00A93E5F"/>
    <w:rsid w:val="00A95704"/>
    <w:rsid w:val="00A97D78"/>
    <w:rsid w:val="00AA032B"/>
    <w:rsid w:val="00AA5E99"/>
    <w:rsid w:val="00AB1B3E"/>
    <w:rsid w:val="00AB3412"/>
    <w:rsid w:val="00AB3BEF"/>
    <w:rsid w:val="00AB5A10"/>
    <w:rsid w:val="00AB702A"/>
    <w:rsid w:val="00AB7438"/>
    <w:rsid w:val="00AC018C"/>
    <w:rsid w:val="00AC56EE"/>
    <w:rsid w:val="00AD05F4"/>
    <w:rsid w:val="00AD5A12"/>
    <w:rsid w:val="00AD6FC2"/>
    <w:rsid w:val="00AE115D"/>
    <w:rsid w:val="00AE1C73"/>
    <w:rsid w:val="00AE24F6"/>
    <w:rsid w:val="00AE473B"/>
    <w:rsid w:val="00AF2D31"/>
    <w:rsid w:val="00AF7B8E"/>
    <w:rsid w:val="00B025E5"/>
    <w:rsid w:val="00B05040"/>
    <w:rsid w:val="00B12CCC"/>
    <w:rsid w:val="00B13B15"/>
    <w:rsid w:val="00B14F81"/>
    <w:rsid w:val="00B175BB"/>
    <w:rsid w:val="00B17808"/>
    <w:rsid w:val="00B17D4A"/>
    <w:rsid w:val="00B20DBD"/>
    <w:rsid w:val="00B224F1"/>
    <w:rsid w:val="00B22CE1"/>
    <w:rsid w:val="00B24377"/>
    <w:rsid w:val="00B2541A"/>
    <w:rsid w:val="00B25442"/>
    <w:rsid w:val="00B27291"/>
    <w:rsid w:val="00B33A02"/>
    <w:rsid w:val="00B34C2A"/>
    <w:rsid w:val="00B3520B"/>
    <w:rsid w:val="00B3684A"/>
    <w:rsid w:val="00B42ECC"/>
    <w:rsid w:val="00B437B5"/>
    <w:rsid w:val="00B45AAF"/>
    <w:rsid w:val="00B50509"/>
    <w:rsid w:val="00B50FCA"/>
    <w:rsid w:val="00B530F2"/>
    <w:rsid w:val="00B562C1"/>
    <w:rsid w:val="00B56589"/>
    <w:rsid w:val="00B61167"/>
    <w:rsid w:val="00B631B2"/>
    <w:rsid w:val="00B66EAA"/>
    <w:rsid w:val="00B71219"/>
    <w:rsid w:val="00B7542F"/>
    <w:rsid w:val="00B76CE9"/>
    <w:rsid w:val="00B85077"/>
    <w:rsid w:val="00B87BAE"/>
    <w:rsid w:val="00B87D91"/>
    <w:rsid w:val="00B9083F"/>
    <w:rsid w:val="00B923B3"/>
    <w:rsid w:val="00B93117"/>
    <w:rsid w:val="00B94D77"/>
    <w:rsid w:val="00B953B4"/>
    <w:rsid w:val="00B95842"/>
    <w:rsid w:val="00B95F43"/>
    <w:rsid w:val="00B97528"/>
    <w:rsid w:val="00B97E45"/>
    <w:rsid w:val="00BA0507"/>
    <w:rsid w:val="00BA468A"/>
    <w:rsid w:val="00BA5547"/>
    <w:rsid w:val="00BA56EE"/>
    <w:rsid w:val="00BB186E"/>
    <w:rsid w:val="00BB2094"/>
    <w:rsid w:val="00BB2AFD"/>
    <w:rsid w:val="00BB3049"/>
    <w:rsid w:val="00BB3316"/>
    <w:rsid w:val="00BB3C38"/>
    <w:rsid w:val="00BC01BF"/>
    <w:rsid w:val="00BC0997"/>
    <w:rsid w:val="00BC09BE"/>
    <w:rsid w:val="00BC16DE"/>
    <w:rsid w:val="00BC2AB1"/>
    <w:rsid w:val="00BC35B6"/>
    <w:rsid w:val="00BC453E"/>
    <w:rsid w:val="00BC45B6"/>
    <w:rsid w:val="00BC4C82"/>
    <w:rsid w:val="00BC533D"/>
    <w:rsid w:val="00BC5902"/>
    <w:rsid w:val="00BC5907"/>
    <w:rsid w:val="00BC5BF5"/>
    <w:rsid w:val="00BC744E"/>
    <w:rsid w:val="00BC7899"/>
    <w:rsid w:val="00BD3F6D"/>
    <w:rsid w:val="00BD555B"/>
    <w:rsid w:val="00BD5A4D"/>
    <w:rsid w:val="00BE1D05"/>
    <w:rsid w:val="00BE20DE"/>
    <w:rsid w:val="00BE38F2"/>
    <w:rsid w:val="00BE40ED"/>
    <w:rsid w:val="00BE76CA"/>
    <w:rsid w:val="00BF3924"/>
    <w:rsid w:val="00BF5A57"/>
    <w:rsid w:val="00C01D74"/>
    <w:rsid w:val="00C03D87"/>
    <w:rsid w:val="00C12A30"/>
    <w:rsid w:val="00C12A5D"/>
    <w:rsid w:val="00C13C34"/>
    <w:rsid w:val="00C143FE"/>
    <w:rsid w:val="00C21317"/>
    <w:rsid w:val="00C2250D"/>
    <w:rsid w:val="00C25551"/>
    <w:rsid w:val="00C25CBD"/>
    <w:rsid w:val="00C262C2"/>
    <w:rsid w:val="00C26BE4"/>
    <w:rsid w:val="00C26CE7"/>
    <w:rsid w:val="00C30A3B"/>
    <w:rsid w:val="00C323D2"/>
    <w:rsid w:val="00C32849"/>
    <w:rsid w:val="00C353A4"/>
    <w:rsid w:val="00C3546E"/>
    <w:rsid w:val="00C35CE7"/>
    <w:rsid w:val="00C36182"/>
    <w:rsid w:val="00C37135"/>
    <w:rsid w:val="00C37CF2"/>
    <w:rsid w:val="00C411E3"/>
    <w:rsid w:val="00C4138F"/>
    <w:rsid w:val="00C4172A"/>
    <w:rsid w:val="00C41C5F"/>
    <w:rsid w:val="00C42C07"/>
    <w:rsid w:val="00C4399A"/>
    <w:rsid w:val="00C44E03"/>
    <w:rsid w:val="00C461F0"/>
    <w:rsid w:val="00C467E5"/>
    <w:rsid w:val="00C471DA"/>
    <w:rsid w:val="00C52970"/>
    <w:rsid w:val="00C62C73"/>
    <w:rsid w:val="00C6466A"/>
    <w:rsid w:val="00C6618F"/>
    <w:rsid w:val="00C67D07"/>
    <w:rsid w:val="00C71293"/>
    <w:rsid w:val="00C71A2D"/>
    <w:rsid w:val="00C73519"/>
    <w:rsid w:val="00C75E42"/>
    <w:rsid w:val="00C8102F"/>
    <w:rsid w:val="00C81E60"/>
    <w:rsid w:val="00C81FF4"/>
    <w:rsid w:val="00C833E1"/>
    <w:rsid w:val="00C836BA"/>
    <w:rsid w:val="00C83734"/>
    <w:rsid w:val="00C83F97"/>
    <w:rsid w:val="00C85851"/>
    <w:rsid w:val="00C961A2"/>
    <w:rsid w:val="00C97764"/>
    <w:rsid w:val="00C979B2"/>
    <w:rsid w:val="00CA3A08"/>
    <w:rsid w:val="00CA474F"/>
    <w:rsid w:val="00CA688C"/>
    <w:rsid w:val="00CA7721"/>
    <w:rsid w:val="00CB1E21"/>
    <w:rsid w:val="00CB2D8A"/>
    <w:rsid w:val="00CB3225"/>
    <w:rsid w:val="00CB3BE7"/>
    <w:rsid w:val="00CB4B99"/>
    <w:rsid w:val="00CB57B6"/>
    <w:rsid w:val="00CC16EF"/>
    <w:rsid w:val="00CC1BD6"/>
    <w:rsid w:val="00CC1F33"/>
    <w:rsid w:val="00CC3C8C"/>
    <w:rsid w:val="00CC5AC9"/>
    <w:rsid w:val="00CC6AF1"/>
    <w:rsid w:val="00CD0133"/>
    <w:rsid w:val="00CD4832"/>
    <w:rsid w:val="00CE00B7"/>
    <w:rsid w:val="00CE0194"/>
    <w:rsid w:val="00CE1AD9"/>
    <w:rsid w:val="00CF0D44"/>
    <w:rsid w:val="00CF1307"/>
    <w:rsid w:val="00CF39D4"/>
    <w:rsid w:val="00CF60E1"/>
    <w:rsid w:val="00CF7BBD"/>
    <w:rsid w:val="00D00EA7"/>
    <w:rsid w:val="00D00F02"/>
    <w:rsid w:val="00D03A58"/>
    <w:rsid w:val="00D048DE"/>
    <w:rsid w:val="00D06DAB"/>
    <w:rsid w:val="00D1059B"/>
    <w:rsid w:val="00D1388B"/>
    <w:rsid w:val="00D14E1A"/>
    <w:rsid w:val="00D164B1"/>
    <w:rsid w:val="00D16D7D"/>
    <w:rsid w:val="00D17736"/>
    <w:rsid w:val="00D17E14"/>
    <w:rsid w:val="00D211ED"/>
    <w:rsid w:val="00D22659"/>
    <w:rsid w:val="00D23BF8"/>
    <w:rsid w:val="00D23BFF"/>
    <w:rsid w:val="00D24CDF"/>
    <w:rsid w:val="00D25624"/>
    <w:rsid w:val="00D27F96"/>
    <w:rsid w:val="00D32F17"/>
    <w:rsid w:val="00D33C5A"/>
    <w:rsid w:val="00D35779"/>
    <w:rsid w:val="00D37244"/>
    <w:rsid w:val="00D40215"/>
    <w:rsid w:val="00D45950"/>
    <w:rsid w:val="00D46C10"/>
    <w:rsid w:val="00D547E3"/>
    <w:rsid w:val="00D57B57"/>
    <w:rsid w:val="00D57C01"/>
    <w:rsid w:val="00D612FB"/>
    <w:rsid w:val="00D62F7C"/>
    <w:rsid w:val="00D660E0"/>
    <w:rsid w:val="00D66114"/>
    <w:rsid w:val="00D70248"/>
    <w:rsid w:val="00D75B32"/>
    <w:rsid w:val="00D763FD"/>
    <w:rsid w:val="00D806D9"/>
    <w:rsid w:val="00D8210F"/>
    <w:rsid w:val="00D83E27"/>
    <w:rsid w:val="00D84126"/>
    <w:rsid w:val="00D859F6"/>
    <w:rsid w:val="00D8742C"/>
    <w:rsid w:val="00D9045B"/>
    <w:rsid w:val="00D929E6"/>
    <w:rsid w:val="00D931C6"/>
    <w:rsid w:val="00D93766"/>
    <w:rsid w:val="00D94970"/>
    <w:rsid w:val="00D95ADC"/>
    <w:rsid w:val="00DA02E9"/>
    <w:rsid w:val="00DA36BF"/>
    <w:rsid w:val="00DA4871"/>
    <w:rsid w:val="00DA49FF"/>
    <w:rsid w:val="00DA624B"/>
    <w:rsid w:val="00DA7C6A"/>
    <w:rsid w:val="00DB4DF2"/>
    <w:rsid w:val="00DB54EB"/>
    <w:rsid w:val="00DB5D42"/>
    <w:rsid w:val="00DB6E8F"/>
    <w:rsid w:val="00DB7942"/>
    <w:rsid w:val="00DC0E9E"/>
    <w:rsid w:val="00DC1F83"/>
    <w:rsid w:val="00DC4442"/>
    <w:rsid w:val="00DC5442"/>
    <w:rsid w:val="00DD1730"/>
    <w:rsid w:val="00DD20D1"/>
    <w:rsid w:val="00DD5042"/>
    <w:rsid w:val="00DD7527"/>
    <w:rsid w:val="00DE1E57"/>
    <w:rsid w:val="00DE29B0"/>
    <w:rsid w:val="00DE3368"/>
    <w:rsid w:val="00DE4C97"/>
    <w:rsid w:val="00DE6586"/>
    <w:rsid w:val="00DE6F85"/>
    <w:rsid w:val="00DF0F7C"/>
    <w:rsid w:val="00DF195B"/>
    <w:rsid w:val="00DF1A32"/>
    <w:rsid w:val="00DF2F9C"/>
    <w:rsid w:val="00DF72FB"/>
    <w:rsid w:val="00E0043B"/>
    <w:rsid w:val="00E010AD"/>
    <w:rsid w:val="00E017D3"/>
    <w:rsid w:val="00E04A68"/>
    <w:rsid w:val="00E05CCC"/>
    <w:rsid w:val="00E079AB"/>
    <w:rsid w:val="00E113BB"/>
    <w:rsid w:val="00E156FF"/>
    <w:rsid w:val="00E1580C"/>
    <w:rsid w:val="00E221C3"/>
    <w:rsid w:val="00E2332C"/>
    <w:rsid w:val="00E2783F"/>
    <w:rsid w:val="00E278A3"/>
    <w:rsid w:val="00E30C3B"/>
    <w:rsid w:val="00E32412"/>
    <w:rsid w:val="00E32FF3"/>
    <w:rsid w:val="00E357B0"/>
    <w:rsid w:val="00E35836"/>
    <w:rsid w:val="00E35AA7"/>
    <w:rsid w:val="00E40AA4"/>
    <w:rsid w:val="00E44A22"/>
    <w:rsid w:val="00E4552A"/>
    <w:rsid w:val="00E45C3E"/>
    <w:rsid w:val="00E46532"/>
    <w:rsid w:val="00E5077E"/>
    <w:rsid w:val="00E57F17"/>
    <w:rsid w:val="00E60725"/>
    <w:rsid w:val="00E60C28"/>
    <w:rsid w:val="00E60F99"/>
    <w:rsid w:val="00E72456"/>
    <w:rsid w:val="00E73578"/>
    <w:rsid w:val="00E74577"/>
    <w:rsid w:val="00E751E4"/>
    <w:rsid w:val="00E81C3A"/>
    <w:rsid w:val="00E81EA1"/>
    <w:rsid w:val="00E83AE2"/>
    <w:rsid w:val="00E83ED8"/>
    <w:rsid w:val="00E85751"/>
    <w:rsid w:val="00E85BFA"/>
    <w:rsid w:val="00E90328"/>
    <w:rsid w:val="00E906F6"/>
    <w:rsid w:val="00E92832"/>
    <w:rsid w:val="00E92E96"/>
    <w:rsid w:val="00E93E12"/>
    <w:rsid w:val="00E955C7"/>
    <w:rsid w:val="00EA054C"/>
    <w:rsid w:val="00EA22E7"/>
    <w:rsid w:val="00EA2FDB"/>
    <w:rsid w:val="00EA5E38"/>
    <w:rsid w:val="00EA5F98"/>
    <w:rsid w:val="00EB04AF"/>
    <w:rsid w:val="00EB095A"/>
    <w:rsid w:val="00EB2229"/>
    <w:rsid w:val="00EB6B94"/>
    <w:rsid w:val="00EC6F11"/>
    <w:rsid w:val="00EC7EAB"/>
    <w:rsid w:val="00ED0616"/>
    <w:rsid w:val="00ED10F3"/>
    <w:rsid w:val="00ED26D9"/>
    <w:rsid w:val="00ED3A77"/>
    <w:rsid w:val="00EE0706"/>
    <w:rsid w:val="00EE3672"/>
    <w:rsid w:val="00EF04AE"/>
    <w:rsid w:val="00EF139A"/>
    <w:rsid w:val="00EF2DD6"/>
    <w:rsid w:val="00EF3C19"/>
    <w:rsid w:val="00F0474C"/>
    <w:rsid w:val="00F04A84"/>
    <w:rsid w:val="00F10B18"/>
    <w:rsid w:val="00F120FC"/>
    <w:rsid w:val="00F13C3F"/>
    <w:rsid w:val="00F13F53"/>
    <w:rsid w:val="00F15565"/>
    <w:rsid w:val="00F15985"/>
    <w:rsid w:val="00F20D75"/>
    <w:rsid w:val="00F21C20"/>
    <w:rsid w:val="00F23FA5"/>
    <w:rsid w:val="00F26B55"/>
    <w:rsid w:val="00F2784F"/>
    <w:rsid w:val="00F3400D"/>
    <w:rsid w:val="00F34C8B"/>
    <w:rsid w:val="00F35985"/>
    <w:rsid w:val="00F36C72"/>
    <w:rsid w:val="00F420E2"/>
    <w:rsid w:val="00F42D91"/>
    <w:rsid w:val="00F47190"/>
    <w:rsid w:val="00F53B5C"/>
    <w:rsid w:val="00F545A2"/>
    <w:rsid w:val="00F55EFA"/>
    <w:rsid w:val="00F5648B"/>
    <w:rsid w:val="00F56759"/>
    <w:rsid w:val="00F57A88"/>
    <w:rsid w:val="00F64A18"/>
    <w:rsid w:val="00F6661F"/>
    <w:rsid w:val="00F6674E"/>
    <w:rsid w:val="00F678A8"/>
    <w:rsid w:val="00F72593"/>
    <w:rsid w:val="00F74A60"/>
    <w:rsid w:val="00F7623B"/>
    <w:rsid w:val="00F8237B"/>
    <w:rsid w:val="00F852E0"/>
    <w:rsid w:val="00F85549"/>
    <w:rsid w:val="00F918E2"/>
    <w:rsid w:val="00F92CAF"/>
    <w:rsid w:val="00F96248"/>
    <w:rsid w:val="00F9761D"/>
    <w:rsid w:val="00FA4994"/>
    <w:rsid w:val="00FB05EF"/>
    <w:rsid w:val="00FB18BA"/>
    <w:rsid w:val="00FB2177"/>
    <w:rsid w:val="00FB47F9"/>
    <w:rsid w:val="00FB64B5"/>
    <w:rsid w:val="00FC6EE0"/>
    <w:rsid w:val="00FD2244"/>
    <w:rsid w:val="00FD27C7"/>
    <w:rsid w:val="00FD41C8"/>
    <w:rsid w:val="00FD5669"/>
    <w:rsid w:val="00FD6132"/>
    <w:rsid w:val="00FD6BD5"/>
    <w:rsid w:val="00FD6EED"/>
    <w:rsid w:val="00FD7087"/>
    <w:rsid w:val="00FE0C61"/>
    <w:rsid w:val="00FE2623"/>
    <w:rsid w:val="00FE358F"/>
    <w:rsid w:val="00FE70B7"/>
    <w:rsid w:val="00FE74E8"/>
    <w:rsid w:val="00FF18F8"/>
    <w:rsid w:val="00FF49FE"/>
    <w:rsid w:val="00FF7DAF"/>
    <w:rsid w:val="00FF7E9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5865F"/>
  <w15:chartTrackingRefBased/>
  <w15:docId w15:val="{65C06E8E-355B-490C-B036-2FE1864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71D1D"/>
    <w:pPr>
      <w:spacing w:before="100" w:beforeAutospacing="1" w:after="100" w:afterAutospacing="1" w:line="240" w:lineRule="auto"/>
      <w:outlineLvl w:val="1"/>
    </w:pPr>
    <w:rPr>
      <w:rFonts w:ascii="Times New Roman" w:eastAsia="Times New Roman" w:hAnsi="Times New Roman" w:cs="Times New Roman"/>
      <w:b/>
      <w:bCs/>
      <w:sz w:val="36"/>
      <w:szCs w:val="36"/>
      <w:lang w:eastAsia="fr-FR" w:bidi="he-IL"/>
    </w:rPr>
  </w:style>
  <w:style w:type="paragraph" w:styleId="Heading4">
    <w:name w:val="heading 4"/>
    <w:basedOn w:val="Normal"/>
    <w:next w:val="Normal"/>
    <w:link w:val="Heading4Char"/>
    <w:uiPriority w:val="9"/>
    <w:semiHidden/>
    <w:unhideWhenUsed/>
    <w:qFormat/>
    <w:rsid w:val="007376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AC1"/>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styleId="Hyperlink">
    <w:name w:val="Hyperlink"/>
    <w:basedOn w:val="DefaultParagraphFont"/>
    <w:uiPriority w:val="99"/>
    <w:unhideWhenUsed/>
    <w:rsid w:val="006F5AC1"/>
    <w:rPr>
      <w:color w:val="0000FF"/>
      <w:u w:val="single"/>
    </w:rPr>
  </w:style>
  <w:style w:type="paragraph" w:styleId="FootnoteText">
    <w:name w:val="footnote text"/>
    <w:basedOn w:val="Normal"/>
    <w:link w:val="FootnoteTextChar"/>
    <w:uiPriority w:val="99"/>
    <w:unhideWhenUsed/>
    <w:rsid w:val="006F5AC1"/>
    <w:pPr>
      <w:spacing w:after="0" w:line="240" w:lineRule="auto"/>
    </w:pPr>
    <w:rPr>
      <w:sz w:val="20"/>
      <w:szCs w:val="20"/>
    </w:rPr>
  </w:style>
  <w:style w:type="character" w:customStyle="1" w:styleId="FootnoteTextChar">
    <w:name w:val="Footnote Text Char"/>
    <w:basedOn w:val="DefaultParagraphFont"/>
    <w:link w:val="FootnoteText"/>
    <w:uiPriority w:val="99"/>
    <w:rsid w:val="006F5AC1"/>
    <w:rPr>
      <w:sz w:val="20"/>
      <w:szCs w:val="20"/>
    </w:rPr>
  </w:style>
  <w:style w:type="character" w:styleId="FootnoteReference">
    <w:name w:val="footnote reference"/>
    <w:basedOn w:val="DefaultParagraphFont"/>
    <w:uiPriority w:val="99"/>
    <w:semiHidden/>
    <w:unhideWhenUsed/>
    <w:rsid w:val="006F5AC1"/>
    <w:rPr>
      <w:vertAlign w:val="superscript"/>
    </w:rPr>
  </w:style>
  <w:style w:type="paragraph" w:styleId="ListParagraph">
    <w:name w:val="List Paragraph"/>
    <w:basedOn w:val="Normal"/>
    <w:uiPriority w:val="34"/>
    <w:qFormat/>
    <w:rsid w:val="00610DF1"/>
    <w:pPr>
      <w:ind w:left="720"/>
      <w:contextualSpacing/>
    </w:pPr>
  </w:style>
  <w:style w:type="character" w:styleId="UnresolvedMention">
    <w:name w:val="Unresolved Mention"/>
    <w:basedOn w:val="DefaultParagraphFont"/>
    <w:uiPriority w:val="99"/>
    <w:semiHidden/>
    <w:unhideWhenUsed/>
    <w:rsid w:val="00F6661F"/>
    <w:rPr>
      <w:color w:val="605E5C"/>
      <w:shd w:val="clear" w:color="auto" w:fill="E1DFDD"/>
    </w:rPr>
  </w:style>
  <w:style w:type="character" w:customStyle="1" w:styleId="Heading2Char">
    <w:name w:val="Heading 2 Char"/>
    <w:basedOn w:val="DefaultParagraphFont"/>
    <w:link w:val="Heading2"/>
    <w:uiPriority w:val="9"/>
    <w:rsid w:val="00571D1D"/>
    <w:rPr>
      <w:rFonts w:ascii="Times New Roman" w:eastAsia="Times New Roman" w:hAnsi="Times New Roman" w:cs="Times New Roman"/>
      <w:b/>
      <w:bCs/>
      <w:sz w:val="36"/>
      <w:szCs w:val="36"/>
      <w:lang w:eastAsia="fr-FR" w:bidi="he-IL"/>
    </w:rPr>
  </w:style>
  <w:style w:type="character" w:styleId="Emphasis">
    <w:name w:val="Emphasis"/>
    <w:basedOn w:val="DefaultParagraphFont"/>
    <w:uiPriority w:val="20"/>
    <w:qFormat/>
    <w:rsid w:val="0069639D"/>
    <w:rPr>
      <w:i/>
      <w:iCs/>
    </w:rPr>
  </w:style>
  <w:style w:type="character" w:styleId="FollowedHyperlink">
    <w:name w:val="FollowedHyperlink"/>
    <w:basedOn w:val="DefaultParagraphFont"/>
    <w:uiPriority w:val="99"/>
    <w:semiHidden/>
    <w:unhideWhenUsed/>
    <w:rsid w:val="008B1CC1"/>
    <w:rPr>
      <w:color w:val="954F72" w:themeColor="followedHyperlink"/>
      <w:u w:val="single"/>
    </w:rPr>
  </w:style>
  <w:style w:type="character" w:styleId="CommentReference">
    <w:name w:val="annotation reference"/>
    <w:basedOn w:val="DefaultParagraphFont"/>
    <w:uiPriority w:val="99"/>
    <w:semiHidden/>
    <w:unhideWhenUsed/>
    <w:rsid w:val="00E40AA4"/>
    <w:rPr>
      <w:sz w:val="16"/>
      <w:szCs w:val="16"/>
    </w:rPr>
  </w:style>
  <w:style w:type="paragraph" w:styleId="CommentText">
    <w:name w:val="annotation text"/>
    <w:basedOn w:val="Normal"/>
    <w:link w:val="CommentTextChar"/>
    <w:uiPriority w:val="99"/>
    <w:unhideWhenUsed/>
    <w:rsid w:val="00E40AA4"/>
    <w:pPr>
      <w:spacing w:line="240" w:lineRule="auto"/>
    </w:pPr>
    <w:rPr>
      <w:sz w:val="20"/>
      <w:szCs w:val="20"/>
    </w:rPr>
  </w:style>
  <w:style w:type="character" w:customStyle="1" w:styleId="CommentTextChar">
    <w:name w:val="Comment Text Char"/>
    <w:basedOn w:val="DefaultParagraphFont"/>
    <w:link w:val="CommentText"/>
    <w:uiPriority w:val="99"/>
    <w:rsid w:val="00E40AA4"/>
    <w:rPr>
      <w:sz w:val="20"/>
      <w:szCs w:val="20"/>
    </w:rPr>
  </w:style>
  <w:style w:type="paragraph" w:styleId="CommentSubject">
    <w:name w:val="annotation subject"/>
    <w:basedOn w:val="CommentText"/>
    <w:next w:val="CommentText"/>
    <w:link w:val="CommentSubjectChar"/>
    <w:uiPriority w:val="99"/>
    <w:semiHidden/>
    <w:unhideWhenUsed/>
    <w:rsid w:val="00E40AA4"/>
    <w:rPr>
      <w:b/>
      <w:bCs/>
    </w:rPr>
  </w:style>
  <w:style w:type="character" w:customStyle="1" w:styleId="CommentSubjectChar">
    <w:name w:val="Comment Subject Char"/>
    <w:basedOn w:val="CommentTextChar"/>
    <w:link w:val="CommentSubject"/>
    <w:uiPriority w:val="99"/>
    <w:semiHidden/>
    <w:rsid w:val="00E40AA4"/>
    <w:rPr>
      <w:b/>
      <w:bCs/>
      <w:sz w:val="20"/>
      <w:szCs w:val="20"/>
    </w:rPr>
  </w:style>
  <w:style w:type="paragraph" w:styleId="Header">
    <w:name w:val="header"/>
    <w:basedOn w:val="Normal"/>
    <w:link w:val="HeaderChar"/>
    <w:uiPriority w:val="99"/>
    <w:unhideWhenUsed/>
    <w:rsid w:val="00B76C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CE9"/>
  </w:style>
  <w:style w:type="paragraph" w:styleId="Footer">
    <w:name w:val="footer"/>
    <w:basedOn w:val="Normal"/>
    <w:link w:val="FooterChar"/>
    <w:uiPriority w:val="99"/>
    <w:unhideWhenUsed/>
    <w:rsid w:val="00B76C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CE9"/>
  </w:style>
  <w:style w:type="character" w:customStyle="1" w:styleId="Heading1Char">
    <w:name w:val="Heading 1 Char"/>
    <w:basedOn w:val="DefaultParagraphFont"/>
    <w:link w:val="Heading1"/>
    <w:uiPriority w:val="9"/>
    <w:rsid w:val="0073765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3765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83AE2"/>
    <w:rPr>
      <w:b/>
      <w:bCs/>
    </w:rPr>
  </w:style>
  <w:style w:type="paragraph" w:customStyle="1" w:styleId="Default">
    <w:name w:val="Default"/>
    <w:rsid w:val="00E83AE2"/>
    <w:pPr>
      <w:autoSpaceDE w:val="0"/>
      <w:autoSpaceDN w:val="0"/>
      <w:adjustRightInd w:val="0"/>
      <w:spacing w:after="0" w:line="240" w:lineRule="auto"/>
    </w:pPr>
    <w:rPr>
      <w:rFonts w:ascii="Wingdings" w:hAnsi="Wingdings" w:cs="Wingdings"/>
      <w:color w:val="000000"/>
      <w:sz w:val="24"/>
      <w:szCs w:val="24"/>
      <w:lang w:bidi="he-IL"/>
    </w:rPr>
  </w:style>
  <w:style w:type="character" w:customStyle="1" w:styleId="uppercase">
    <w:name w:val="uppercase"/>
    <w:basedOn w:val="DefaultParagraphFont"/>
    <w:rsid w:val="00E60725"/>
  </w:style>
  <w:style w:type="character" w:styleId="HTMLCite">
    <w:name w:val="HTML Cite"/>
    <w:basedOn w:val="DefaultParagraphFont"/>
    <w:uiPriority w:val="99"/>
    <w:semiHidden/>
    <w:unhideWhenUsed/>
    <w:rsid w:val="00E60725"/>
    <w:rPr>
      <w:i/>
      <w:iCs/>
    </w:rPr>
  </w:style>
  <w:style w:type="character" w:customStyle="1" w:styleId="muitypography-root">
    <w:name w:val="muitypography-root"/>
    <w:basedOn w:val="DefaultParagraphFont"/>
    <w:rsid w:val="00E60725"/>
  </w:style>
  <w:style w:type="character" w:customStyle="1" w:styleId="u-visually-hidden">
    <w:name w:val="u-visually-hidden"/>
    <w:basedOn w:val="DefaultParagraphFont"/>
    <w:rsid w:val="00E60725"/>
  </w:style>
  <w:style w:type="character" w:customStyle="1" w:styleId="text">
    <w:name w:val="text"/>
    <w:basedOn w:val="DefaultParagraphFont"/>
    <w:rsid w:val="00E60725"/>
  </w:style>
  <w:style w:type="character" w:customStyle="1" w:styleId="author-ref">
    <w:name w:val="author-ref"/>
    <w:basedOn w:val="DefaultParagraphFont"/>
    <w:rsid w:val="00E60725"/>
  </w:style>
  <w:style w:type="character" w:customStyle="1" w:styleId="medium-4">
    <w:name w:val="medium-4"/>
    <w:basedOn w:val="DefaultParagraphFont"/>
    <w:rsid w:val="00E60725"/>
  </w:style>
  <w:style w:type="character" w:customStyle="1" w:styleId="medium-8">
    <w:name w:val="medium-8"/>
    <w:basedOn w:val="DefaultParagraphFont"/>
    <w:rsid w:val="00E60725"/>
  </w:style>
  <w:style w:type="paragraph" w:customStyle="1" w:styleId="author">
    <w:name w:val="author"/>
    <w:basedOn w:val="Normal"/>
    <w:rsid w:val="00E60725"/>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paragraph" w:customStyle="1" w:styleId="journal">
    <w:name w:val="journal"/>
    <w:basedOn w:val="Normal"/>
    <w:rsid w:val="00E60725"/>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paragraph" w:customStyle="1" w:styleId="pages">
    <w:name w:val="pages"/>
    <w:basedOn w:val="Normal"/>
    <w:rsid w:val="00E60725"/>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contrib-author">
    <w:name w:val="contrib-author"/>
    <w:basedOn w:val="DefaultParagraphFont"/>
    <w:rsid w:val="00E60725"/>
  </w:style>
  <w:style w:type="paragraph" w:customStyle="1" w:styleId="Title1">
    <w:name w:val="Title1"/>
    <w:basedOn w:val="Normal"/>
    <w:rsid w:val="00E60725"/>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pubyear">
    <w:name w:val="pubyear"/>
    <w:basedOn w:val="DefaultParagraphFont"/>
    <w:rsid w:val="00E60725"/>
  </w:style>
  <w:style w:type="character" w:customStyle="1" w:styleId="articletitle">
    <w:name w:val="articletitle"/>
    <w:basedOn w:val="DefaultParagraphFont"/>
    <w:rsid w:val="00E60725"/>
  </w:style>
  <w:style w:type="character" w:customStyle="1" w:styleId="journaltitle">
    <w:name w:val="journaltitle"/>
    <w:basedOn w:val="DefaultParagraphFont"/>
    <w:rsid w:val="00E60725"/>
  </w:style>
  <w:style w:type="character" w:customStyle="1" w:styleId="vol">
    <w:name w:val="vol"/>
    <w:basedOn w:val="DefaultParagraphFont"/>
    <w:rsid w:val="00E60725"/>
  </w:style>
  <w:style w:type="character" w:customStyle="1" w:styleId="citedissue">
    <w:name w:val="citedissue"/>
    <w:basedOn w:val="DefaultParagraphFont"/>
    <w:rsid w:val="00E60725"/>
  </w:style>
  <w:style w:type="character" w:customStyle="1" w:styleId="pagefirst">
    <w:name w:val="pagefirst"/>
    <w:basedOn w:val="DefaultParagraphFont"/>
    <w:rsid w:val="00E60725"/>
  </w:style>
  <w:style w:type="character" w:customStyle="1" w:styleId="pagelast">
    <w:name w:val="pagelast"/>
    <w:basedOn w:val="DefaultParagraphFont"/>
    <w:rsid w:val="00E60725"/>
  </w:style>
  <w:style w:type="paragraph" w:customStyle="1" w:styleId="nova-legacy-e-listitem">
    <w:name w:val="nova-legacy-e-list__item"/>
    <w:basedOn w:val="Normal"/>
    <w:rsid w:val="00E60725"/>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accordion-tabbedtab-mobile">
    <w:name w:val="accordion-tabbed__tab-mobile"/>
    <w:basedOn w:val="DefaultParagraphFont"/>
    <w:rsid w:val="00E60725"/>
  </w:style>
  <w:style w:type="character" w:customStyle="1" w:styleId="comma-separator">
    <w:name w:val="comma-separator"/>
    <w:basedOn w:val="DefaultParagraphFont"/>
    <w:rsid w:val="00E60725"/>
  </w:style>
  <w:style w:type="character" w:customStyle="1" w:styleId="cf01">
    <w:name w:val="cf01"/>
    <w:basedOn w:val="DefaultParagraphFont"/>
    <w:rsid w:val="00E60725"/>
    <w:rPr>
      <w:rFonts w:ascii="Segoe UI" w:hAnsi="Segoe UI" w:cs="Segoe UI" w:hint="default"/>
      <w:color w:val="FF0000"/>
      <w:sz w:val="18"/>
      <w:szCs w:val="18"/>
    </w:rPr>
  </w:style>
  <w:style w:type="character" w:customStyle="1" w:styleId="title-text">
    <w:name w:val="title-text"/>
    <w:basedOn w:val="DefaultParagraphFont"/>
    <w:rsid w:val="00E60725"/>
  </w:style>
  <w:style w:type="paragraph" w:customStyle="1" w:styleId="title-bold">
    <w:name w:val="title-bold"/>
    <w:basedOn w:val="Normal"/>
    <w:rsid w:val="00E60725"/>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paragraph" w:customStyle="1" w:styleId="doc-ti">
    <w:name w:val="doc-ti"/>
    <w:basedOn w:val="Normal"/>
    <w:rsid w:val="00E60725"/>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fa">
    <w:name w:val="fa"/>
    <w:basedOn w:val="DefaultParagraphFont"/>
    <w:rsid w:val="00E6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58502">
      <w:bodyDiv w:val="1"/>
      <w:marLeft w:val="0"/>
      <w:marRight w:val="0"/>
      <w:marTop w:val="0"/>
      <w:marBottom w:val="0"/>
      <w:divBdr>
        <w:top w:val="none" w:sz="0" w:space="0" w:color="auto"/>
        <w:left w:val="none" w:sz="0" w:space="0" w:color="auto"/>
        <w:bottom w:val="none" w:sz="0" w:space="0" w:color="auto"/>
        <w:right w:val="none" w:sz="0" w:space="0" w:color="auto"/>
      </w:divBdr>
    </w:div>
    <w:div w:id="1314142757">
      <w:bodyDiv w:val="1"/>
      <w:marLeft w:val="0"/>
      <w:marRight w:val="0"/>
      <w:marTop w:val="0"/>
      <w:marBottom w:val="0"/>
      <w:divBdr>
        <w:top w:val="none" w:sz="0" w:space="0" w:color="auto"/>
        <w:left w:val="none" w:sz="0" w:space="0" w:color="auto"/>
        <w:bottom w:val="none" w:sz="0" w:space="0" w:color="auto"/>
        <w:right w:val="none" w:sz="0" w:space="0" w:color="auto"/>
      </w:divBdr>
      <w:divsChild>
        <w:div w:id="66265653">
          <w:marLeft w:val="0"/>
          <w:marRight w:val="0"/>
          <w:marTop w:val="0"/>
          <w:marBottom w:val="0"/>
          <w:divBdr>
            <w:top w:val="none" w:sz="0" w:space="0" w:color="auto"/>
            <w:left w:val="none" w:sz="0" w:space="0" w:color="auto"/>
            <w:bottom w:val="none" w:sz="0" w:space="0" w:color="auto"/>
            <w:right w:val="none" w:sz="0" w:space="0" w:color="auto"/>
          </w:divBdr>
          <w:divsChild>
            <w:div w:id="2889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95">
      <w:bodyDiv w:val="1"/>
      <w:marLeft w:val="0"/>
      <w:marRight w:val="0"/>
      <w:marTop w:val="0"/>
      <w:marBottom w:val="0"/>
      <w:divBdr>
        <w:top w:val="none" w:sz="0" w:space="0" w:color="auto"/>
        <w:left w:val="none" w:sz="0" w:space="0" w:color="auto"/>
        <w:bottom w:val="none" w:sz="0" w:space="0" w:color="auto"/>
        <w:right w:val="none" w:sz="0" w:space="0" w:color="auto"/>
      </w:divBdr>
    </w:div>
    <w:div w:id="1457483353">
      <w:bodyDiv w:val="1"/>
      <w:marLeft w:val="0"/>
      <w:marRight w:val="0"/>
      <w:marTop w:val="0"/>
      <w:marBottom w:val="0"/>
      <w:divBdr>
        <w:top w:val="none" w:sz="0" w:space="0" w:color="auto"/>
        <w:left w:val="none" w:sz="0" w:space="0" w:color="auto"/>
        <w:bottom w:val="none" w:sz="0" w:space="0" w:color="auto"/>
        <w:right w:val="none" w:sz="0" w:space="0" w:color="auto"/>
      </w:divBdr>
    </w:div>
    <w:div w:id="1865821981">
      <w:bodyDiv w:val="1"/>
      <w:marLeft w:val="0"/>
      <w:marRight w:val="0"/>
      <w:marTop w:val="0"/>
      <w:marBottom w:val="0"/>
      <w:divBdr>
        <w:top w:val="none" w:sz="0" w:space="0" w:color="auto"/>
        <w:left w:val="none" w:sz="0" w:space="0" w:color="auto"/>
        <w:bottom w:val="none" w:sz="0" w:space="0" w:color="auto"/>
        <w:right w:val="none" w:sz="0" w:space="0" w:color="auto"/>
      </w:divBdr>
    </w:div>
    <w:div w:id="21431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2/wcc.705" TargetMode="External"/><Relationship Id="rId21" Type="http://schemas.openxmlformats.org/officeDocument/2006/relationships/hyperlink" Target="https://doi.org/10.1111/j.1748-5991.2008.00033.x" TargetMode="External"/><Relationship Id="rId42" Type="http://schemas.openxmlformats.org/officeDocument/2006/relationships/hyperlink" Target="https://eur-lex.europa.eu/legal-content/EN/TXT/?uri=CELEX:32011R1210" TargetMode="External"/><Relationship Id="rId63" Type="http://schemas.openxmlformats.org/officeDocument/2006/relationships/hyperlink" Target="https://papers.ssrn.com/sol3/papers.cfm?abstract_id=2341810" TargetMode="External"/><Relationship Id="rId84" Type="http://schemas.openxmlformats.org/officeDocument/2006/relationships/hyperlink" Target="https://www.ipcc.ch/report/ar6/wg1/" TargetMode="External"/><Relationship Id="rId138" Type="http://schemas.openxmlformats.org/officeDocument/2006/relationships/footer" Target="footer1.xml"/><Relationship Id="rId16" Type="http://schemas.openxmlformats.org/officeDocument/2006/relationships/image" Target="media/image9.png"/><Relationship Id="rId107" Type="http://schemas.openxmlformats.org/officeDocument/2006/relationships/hyperlink" Target="https://www.belfercenter.org/publication/future-renewable-hydrogen-european-union-market-and-geopolitical-implications-0" TargetMode="External"/><Relationship Id="rId11" Type="http://schemas.openxmlformats.org/officeDocument/2006/relationships/image" Target="media/image4.png"/><Relationship Id="rId32" Type="http://schemas.openxmlformats.org/officeDocument/2006/relationships/hyperlink" Target="https://doi.org/10.1016/j.enpol.2021.112428" TargetMode="External"/><Relationship Id="rId37" Type="http://schemas.openxmlformats.org/officeDocument/2006/relationships/hyperlink" Target="https://www.ebrd.com/news/publications/institutional-documents/methodology-for-the-economic-assessment-of-ebrd-projects-with-high-greenhouse-gasemissions.html" TargetMode="External"/><Relationship Id="rId53" Type="http://schemas.openxmlformats.org/officeDocument/2006/relationships/hyperlink" Target="https://ec.europa.eu/commission/presscorner/detail/en/IP_22_4544" TargetMode="External"/><Relationship Id="rId58" Type="http://schemas.openxmlformats.org/officeDocument/2006/relationships/hyperlink" Target="https://eur-lex.europa.eu/legal-content/EN/TXT/?uri=uriserv%3AOJ.C_.2022.080.01.0001.01.ENG&amp;toc=OJ%3AC%3A2022%3A080%3ATOC" TargetMode="External"/><Relationship Id="rId74" Type="http://schemas.openxmlformats.org/officeDocument/2006/relationships/hyperlink" Target="https://doi.org/10.5539/jsd.v9n6p58" TargetMode="External"/><Relationship Id="rId79" Type="http://schemas.openxmlformats.org/officeDocument/2006/relationships/hyperlink" Target="https://ui.adsabs.harvard.edu/link_gateway/2021ERL....16d3004G/doi:10.1088/1748-9326/abdae9" TargetMode="External"/><Relationship Id="rId102" Type="http://schemas.openxmlformats.org/officeDocument/2006/relationships/hyperlink" Target="https://core.ac.uk/download/pdf/249953868.pdf" TargetMode="External"/><Relationship Id="rId123" Type="http://schemas.openxmlformats.org/officeDocument/2006/relationships/hyperlink" Target="https://www.researchgate.net/journal/Global-Environmental-Politics-1536-0091" TargetMode="External"/><Relationship Id="rId128" Type="http://schemas.openxmlformats.org/officeDocument/2006/relationships/hyperlink" Target="https://royalsociety.org/-/media/policy/projects/hydrogen-production/energy-briefing-green-hydrogen.pdf" TargetMode="External"/><Relationship Id="rId5" Type="http://schemas.openxmlformats.org/officeDocument/2006/relationships/webSettings" Target="webSettings.xml"/><Relationship Id="rId90" Type="http://schemas.openxmlformats.org/officeDocument/2006/relationships/hyperlink" Target="https://www.jstor.org/stable/42705401" TargetMode="External"/><Relationship Id="rId95" Type="http://schemas.openxmlformats.org/officeDocument/2006/relationships/hyperlink" Target="https://doi.org/10.1016/j.eneco.2021.105585" TargetMode="External"/><Relationship Id="rId22" Type="http://schemas.openxmlformats.org/officeDocument/2006/relationships/hyperlink" Target="https://doi.org/10.1002/bs.3830010402" TargetMode="External"/><Relationship Id="rId27" Type="http://schemas.openxmlformats.org/officeDocument/2006/relationships/hyperlink" Target="https://climatestrategies.org/wp-content/uploads/2021/03/Carbon-Contracts_CFMP-Policy-Brief-2020.pdf" TargetMode="External"/><Relationship Id="rId43" Type="http://schemas.openxmlformats.org/officeDocument/2006/relationships/hyperlink" Target="https://ec.europa.eu/clima/system/files/2016-11/com_2012_652_en.pdf" TargetMode="External"/><Relationship Id="rId48" Type="http://schemas.openxmlformats.org/officeDocument/2006/relationships/hyperlink" Target="https://eur-lex.europa.eu/legal-content/EN/TXT/?uri=celex:32019R0856" TargetMode="External"/><Relationship Id="rId64" Type="http://schemas.openxmlformats.org/officeDocument/2006/relationships/hyperlink" Target="https://eur-lex.europa.eu/legal-content/EN/TXT/?uri=celex%3A32003L0087" TargetMode="External"/><Relationship Id="rId69" Type="http://schemas.openxmlformats.org/officeDocument/2006/relationships/hyperlink" Target="https://doi.org/10.2785/522192" TargetMode="External"/><Relationship Id="rId113" Type="http://schemas.openxmlformats.org/officeDocument/2006/relationships/hyperlink" Target="https://www.belfercenter.org/sites/default/files/files/publication/Geopolitical%20and%20Market%20Implications%20of%20Renewable%20Hydrogen.pdf" TargetMode="External"/><Relationship Id="rId118" Type="http://schemas.openxmlformats.org/officeDocument/2006/relationships/hyperlink" Target="https://www.sciencedirect.com/science/article/abs/pii/S0014292102001885?via%3Dihub" TargetMode="External"/><Relationship Id="rId134" Type="http://schemas.openxmlformats.org/officeDocument/2006/relationships/hyperlink" Target="http://hdl.handle.net/10986/32419" TargetMode="External"/><Relationship Id="rId139" Type="http://schemas.openxmlformats.org/officeDocument/2006/relationships/fontTable" Target="fontTable.xml"/><Relationship Id="rId80" Type="http://schemas.openxmlformats.org/officeDocument/2006/relationships/hyperlink" Target="https://www.researchgate.net/publication/228449831_Carbon_contracts_and_energy_policy_An_outline_proposal" TargetMode="External"/><Relationship Id="rId85" Type="http://schemas.openxmlformats.org/officeDocument/2006/relationships/hyperlink" Target="https://www.ipcc.ch/report/ar6/wg2/" TargetMode="External"/><Relationship Id="rId12" Type="http://schemas.openxmlformats.org/officeDocument/2006/relationships/image" Target="media/image5.png"/><Relationship Id="rId17" Type="http://schemas.openxmlformats.org/officeDocument/2006/relationships/hyperlink" Target="https://doi.org/10.3389/fenrg.2021.644796" TargetMode="External"/><Relationship Id="rId33" Type="http://schemas.openxmlformats.org/officeDocument/2006/relationships/hyperlink" Target="https://doi.org/10.1016/j.enpol.2014.05.033" TargetMode="External"/><Relationship Id="rId38" Type="http://schemas.openxmlformats.org/officeDocument/2006/relationships/hyperlink" Target="https://ec.europa.eu/clima/eu-action/eu-emissions-trading-system-eu-ets/market-stability-reserve_en" TargetMode="External"/><Relationship Id="rId59" Type="http://schemas.openxmlformats.org/officeDocument/2006/relationships/hyperlink" Target="https://www.eea.europa.eu/downloads/aec20c02255b4ea58e9bd45a94cb45ea/1644510582/the-eu-emissions-trading-system.pdf" TargetMode="External"/><Relationship Id="rId103" Type="http://schemas.openxmlformats.org/officeDocument/2006/relationships/hyperlink" Target="https://www.aeaweb.org/articles?id=10.1257/0002828042002606" TargetMode="External"/><Relationship Id="rId108" Type="http://schemas.openxmlformats.org/officeDocument/2006/relationships/hyperlink" Target="https://doi.org/10.5194/acp-22-9349-2022" TargetMode="External"/><Relationship Id="rId124" Type="http://schemas.openxmlformats.org/officeDocument/2006/relationships/hyperlink" Target="http://dx.doi.org/10.1162/glep.2009.9.2.101" TargetMode="External"/><Relationship Id="rId129" Type="http://schemas.openxmlformats.org/officeDocument/2006/relationships/hyperlink" Target="https://unece.org/sites/default/files/2021-03/CCUS%20brochure_EN_final.pdf" TargetMode="External"/><Relationship Id="rId54" Type="http://schemas.openxmlformats.org/officeDocument/2006/relationships/hyperlink" Target="https://eur-lex.europa.eu/legal-content/EN/TXT/?uri=COM%3A2022%3A230%3AFIN" TargetMode="External"/><Relationship Id="rId70" Type="http://schemas.openxmlformats.org/officeDocument/2006/relationships/hyperlink" Target="https://dx.doi.org/10.2139/ssrn.4170198" TargetMode="External"/><Relationship Id="rId75" Type="http://schemas.openxmlformats.org/officeDocument/2006/relationships/hyperlink" Target="https://ideas.repec.org/s/nse/ecosta.html" TargetMode="External"/><Relationship Id="rId91" Type="http://schemas.openxmlformats.org/officeDocument/2006/relationships/hyperlink" Target="https://www.rivisteweb.it/doi/10.1428/33131" TargetMode="External"/><Relationship Id="rId96" Type="http://schemas.openxmlformats.org/officeDocument/2006/relationships/hyperlink" Target="https://doi.org/10.1016/j.apenergy.2021.117903"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73/pnas.1918128117" TargetMode="External"/><Relationship Id="rId28" Type="http://schemas.openxmlformats.org/officeDocument/2006/relationships/hyperlink" Target="https://www.diw.de/de/diw_01.c.758552.de/publikationen/diskussionspapiere/2020_1859/time-consistent_carbon_pricing__the_role_of_carbon_contracts_for_differences.html" TargetMode="External"/><Relationship Id="rId49" Type="http://schemas.openxmlformats.org/officeDocument/2006/relationships/hyperlink" Target="https://eur-lex.europa.eu/legal-content/EN/TXT/?uri=CELEX%3A52021DC0550" TargetMode="External"/><Relationship Id="rId114" Type="http://schemas.openxmlformats.org/officeDocument/2006/relationships/hyperlink" Target="http://dx.doi.org/10.1561/101.00000111" TargetMode="External"/><Relationship Id="rId119" Type="http://schemas.openxmlformats.org/officeDocument/2006/relationships/hyperlink" Target="https://doi.org/10.1016/j.isci.2022.104700" TargetMode="External"/><Relationship Id="rId44" Type="http://schemas.openxmlformats.org/officeDocument/2006/relationships/hyperlink" Target="http://data.europa.eu/eli/reg/2013/389/oj" TargetMode="External"/><Relationship Id="rId60" Type="http://schemas.openxmlformats.org/officeDocument/2006/relationships/hyperlink" Target="https://ssrn.com/abstract=2179814" TargetMode="External"/><Relationship Id="rId65" Type="http://schemas.openxmlformats.org/officeDocument/2006/relationships/hyperlink" Target="https://eur-lex.europa.eu/LexUriServ/LexUriServ.do?uri=OJ:L:2009:140:0063:0087:en:PDF" TargetMode="External"/><Relationship Id="rId81" Type="http://schemas.openxmlformats.org/officeDocument/2006/relationships/hyperlink" Target="https://hydrogeneurope.eu/wp-content/uploads/2021/12/2021.12.08_Hydrogen-Industry-Letter_DA-on-additionality_final.pdf" TargetMode="External"/><Relationship Id="rId86" Type="http://schemas.openxmlformats.org/officeDocument/2006/relationships/hyperlink" Target="https://www.ipcc.ch/2022/04/04/ipcc-ar6-wgiii-pressrelease/" TargetMode="External"/><Relationship Id="rId130" Type="http://schemas.openxmlformats.org/officeDocument/2006/relationships/hyperlink" Target="https://wedocs.unep.org/xmlui/bitstream/handle/20.500.11822/34426/EGR20.pdf?sequence=1&amp;isAllowed=y" TargetMode="External"/><Relationship Id="rId135" Type="http://schemas.openxmlformats.org/officeDocument/2006/relationships/hyperlink" Target="https://www.nature.com/articles/s41467-020-15453-z" TargetMode="External"/><Relationship Id="rId13" Type="http://schemas.openxmlformats.org/officeDocument/2006/relationships/image" Target="media/image6.png"/><Relationship Id="rId18" Type="http://schemas.openxmlformats.org/officeDocument/2006/relationships/hyperlink" Target="https://www.research.manchester.ac.uk/portal/files/60994617/Natural_Gas_and_Climate_Change_Anderson_Broderick_FOR_DISTRIBUTION.pdf" TargetMode="External"/><Relationship Id="rId39" Type="http://schemas.openxmlformats.org/officeDocument/2006/relationships/hyperlink" Target="https://ec.europa.eu/clima/eu-action/eu-emissions-trading-system-eu-ets_en" TargetMode="External"/><Relationship Id="rId109" Type="http://schemas.openxmlformats.org/officeDocument/2006/relationships/hyperlink" Target="https://doi.org/10.1787/a77ab220-en" TargetMode="External"/><Relationship Id="rId34" Type="http://schemas.openxmlformats.org/officeDocument/2006/relationships/hyperlink" Target="https://doi.org/10.1504/ijnhpa.2006.009869" TargetMode="External"/><Relationship Id="rId50" Type="http://schemas.openxmlformats.org/officeDocument/2006/relationships/hyperlink" Target="https://eur-lex.europa.eu/legal-content/EN/TXT/?uri=uriserv:OJ.L_.2021.261.01.0004.01.ENG" TargetMode="External"/><Relationship Id="rId55" Type="http://schemas.openxmlformats.org/officeDocument/2006/relationships/hyperlink" Target="https://ec.europa.eu/clima/system/files/2022-01/policy_innovation-fund_lsc_statistics_en_0.pdf" TargetMode="External"/><Relationship Id="rId76" Type="http://schemas.openxmlformats.org/officeDocument/2006/relationships/hyperlink" Target="https://www.insee.fr/en/statistiques/fichier/4770154/06-ES_517-518-519_Germain-Lellouch_ENWeb.pdf" TargetMode="External"/><Relationship Id="rId97" Type="http://schemas.openxmlformats.org/officeDocument/2006/relationships/hyperlink" Target="https://www.energate-messenger.com/news/221991/hydrogen-import-is-the-most-cost-effective-solution-for-the-eu" TargetMode="External"/><Relationship Id="rId104" Type="http://schemas.openxmlformats.org/officeDocument/2006/relationships/hyperlink" Target="https://www.bruegel.org/policy-brief/commercialisation-contracts-european-support-low-carbon-technology-deployment" TargetMode="External"/><Relationship Id="rId120" Type="http://schemas.openxmlformats.org/officeDocument/2006/relationships/hyperlink" Target="https://www.iddri.org/en/publications-and-events/study/decarbonising-basic-materials-europe" TargetMode="External"/><Relationship Id="rId125" Type="http://schemas.openxmlformats.org/officeDocument/2006/relationships/hyperlink" Target="https://doi.org/10.2307/3003160" TargetMode="External"/><Relationship Id="rId7" Type="http://schemas.openxmlformats.org/officeDocument/2006/relationships/endnotes" Target="endnotes.xml"/><Relationship Id="rId71" Type="http://schemas.openxmlformats.org/officeDocument/2006/relationships/hyperlink" Target="https://dukespace.lib.duke.edu/dspace/bitstream/handle/10161/6623/FischerNewellJEEM.pdf?sequence=1&amp;isAllowed=y" TargetMode="External"/><Relationship Id="rId92" Type="http://schemas.openxmlformats.org/officeDocument/2006/relationships/hyperlink" Target="https://doi.org/10.1038/s41558-021-01203-6" TargetMode="External"/><Relationship Id="rId2" Type="http://schemas.openxmlformats.org/officeDocument/2006/relationships/numbering" Target="numbering.xml"/><Relationship Id="rId29" Type="http://schemas.openxmlformats.org/officeDocument/2006/relationships/hyperlink" Target="http://dx.doi.org/10.5547/2160-5890.7.2.jclu" TargetMode="External"/><Relationship Id="rId24" Type="http://schemas.openxmlformats.org/officeDocument/2006/relationships/hyperlink" Target="https://doi.org/10.1016/j.eneco.2015.03.014" TargetMode="External"/><Relationship Id="rId40" Type="http://schemas.openxmlformats.org/officeDocument/2006/relationships/hyperlink" Target="http://data.europa.eu/eli/dir/2008/101/oj" TargetMode="External"/><Relationship Id="rId45" Type="http://schemas.openxmlformats.org/officeDocument/2006/relationships/hyperlink" Target="https://eur-lex.europa.eu/legal-content/EN/TXT/?uri=uriserv:OJ.L_.2014.056.01.0011.01.ENG" TargetMode="External"/><Relationship Id="rId66" Type="http://schemas.openxmlformats.org/officeDocument/2006/relationships/hyperlink" Target="https://eur-lex.europa.eu/legal-content/EN/TXT/?uri=uriserv:OJ.L_.2015.264.01.0001.01.ENG" TargetMode="External"/><Relationship Id="rId87" Type="http://schemas.openxmlformats.org/officeDocument/2006/relationships/hyperlink" Target="https://irena.org/-/media/Files/IRENA/Agency/Publication/2022/Mar/IRENA_Green_Hydrogen_Certification_Brief_2022.pdf" TargetMode="External"/><Relationship Id="rId110" Type="http://schemas.openxmlformats.org/officeDocument/2006/relationships/hyperlink" Target="https://iea.blob.core.windows.net/assets/24c3d26b-aa44-4b54-b9c0-5201d4d86a04/20YearsofCarbonCaptureandStorage_WEB.pdf" TargetMode="External"/><Relationship Id="rId115" Type="http://schemas.openxmlformats.org/officeDocument/2006/relationships/hyperlink" Target="https://doi.org/10.1146/annurev-chembioeng-060816-101334" TargetMode="External"/><Relationship Id="rId131" Type="http://schemas.openxmlformats.org/officeDocument/2006/relationships/hyperlink" Target="https://unfccc.int/sites/default/files/english_paris_agreement.pdf" TargetMode="External"/><Relationship Id="rId136" Type="http://schemas.openxmlformats.org/officeDocument/2006/relationships/hyperlink" Target="https://www.nature.com/articles/s41586-021-03821-8" TargetMode="External"/><Relationship Id="rId61" Type="http://schemas.openxmlformats.org/officeDocument/2006/relationships/hyperlink" Target="https://doi.org/10.1016/j.eneco.2019.01.019" TargetMode="External"/><Relationship Id="rId82" Type="http://schemas.openxmlformats.org/officeDocument/2006/relationships/hyperlink" Target="https://www.ieabioenergy.com/wp-content/uploads/2019/01/Wasserstoffstudie_IEA-final.pdf" TargetMode="External"/><Relationship Id="rId19" Type="http://schemas.openxmlformats.org/officeDocument/2006/relationships/hyperlink" Target="https://doi.org/10.1016/j.ijhydene.2019.03.063" TargetMode="External"/><Relationship Id="rId14" Type="http://schemas.openxmlformats.org/officeDocument/2006/relationships/image" Target="media/image7.png"/><Relationship Id="rId30" Type="http://schemas.openxmlformats.org/officeDocument/2006/relationships/hyperlink" Target="https://link.springer.com/article/10.1007/s10640-009-9275-7" TargetMode="External"/><Relationship Id="rId35" Type="http://schemas.openxmlformats.org/officeDocument/2006/relationships/hyperlink" Target="https://doi.org/10.3917/med.192.0025" TargetMode="External"/><Relationship Id="rId56" Type="http://schemas.openxmlformats.org/officeDocument/2006/relationships/hyperlink" Target="https://ec.europa.eu/research/participants/data/ref/h2020/experts_manual/h2020-experts-mono-contract_en.pdf" TargetMode="External"/><Relationship Id="rId77" Type="http://schemas.openxmlformats.org/officeDocument/2006/relationships/hyperlink" Target="https://www.globalccsinstitute.com/wp-content/uploads/2021/10/2021-Global-Status-of-CCS-Report_Global_CCS_Institute.pdf" TargetMode="External"/><Relationship Id="rId100" Type="http://schemas.openxmlformats.org/officeDocument/2006/relationships/hyperlink" Target="https://cadmus.eui.eu/browse?type=author&amp;value=LABANDEIRA,%20Xavier" TargetMode="External"/><Relationship Id="rId105" Type="http://schemas.openxmlformats.org/officeDocument/2006/relationships/hyperlink" Target="https://www.researchgate.net/publication/291559588_Too_Much_Market_Conflict_Between_Tradable_Pollution_Allowances_and_the_'Polluter_Pays'_Principle" TargetMode="External"/><Relationship Id="rId126" Type="http://schemas.openxmlformats.org/officeDocument/2006/relationships/hyperlink" Target="https://doi.org/10.1016/j.ecolecon.2019.06.002" TargetMode="External"/><Relationship Id="rId8" Type="http://schemas.openxmlformats.org/officeDocument/2006/relationships/image" Target="media/image1.png"/><Relationship Id="rId51" Type="http://schemas.openxmlformats.org/officeDocument/2006/relationships/hyperlink" Target="https://eur-lex.europa.eu/resource.html?uri=cellar:7b89687a-eec6-11eb-a71c-01aa75ed71a1.0001.01/DOC_4&amp;format=PDF" TargetMode="External"/><Relationship Id="rId72" Type="http://schemas.openxmlformats.org/officeDocument/2006/relationships/hyperlink" Target="https://doi.org/10.1038/s41558-020-0883-0" TargetMode="External"/><Relationship Id="rId93" Type="http://schemas.openxmlformats.org/officeDocument/2006/relationships/hyperlink" Target="https://doi.org/10.1016/j.enpol.2014.06.024" TargetMode="External"/><Relationship Id="rId98" Type="http://schemas.openxmlformats.org/officeDocument/2006/relationships/hyperlink" Target="https://cadmus.eui.eu/browse?type=author&amp;value=TEIXIDO-FIGUERAS,%20Jordi" TargetMode="External"/><Relationship Id="rId121" Type="http://schemas.openxmlformats.org/officeDocument/2006/relationships/hyperlink" Target="https://wires.onlinelibrary.wiley.com/doi/full/10.1002/wcc.796" TargetMode="External"/><Relationship Id="rId3" Type="http://schemas.openxmlformats.org/officeDocument/2006/relationships/styles" Target="styles.xml"/><Relationship Id="rId25" Type="http://schemas.openxmlformats.org/officeDocument/2006/relationships/hyperlink" Target="https://doi.org/10.3389/fenrg.2016.00027" TargetMode="External"/><Relationship Id="rId46" Type="http://schemas.openxmlformats.org/officeDocument/2006/relationships/hyperlink" Target="https://data.europa.eu/doi/10.2760/687800" TargetMode="External"/><Relationship Id="rId67" Type="http://schemas.openxmlformats.org/officeDocument/2006/relationships/hyperlink" Target="http://data.europa.eu/eli/dir/2018/410/oj" TargetMode="External"/><Relationship Id="rId116" Type="http://schemas.openxmlformats.org/officeDocument/2006/relationships/hyperlink" Target="https://doi.org/10.1016/j.ijhydene.2018.08.193" TargetMode="External"/><Relationship Id="rId137" Type="http://schemas.openxmlformats.org/officeDocument/2006/relationships/hyperlink" Target="https://www.ewi.uni-koeln.de/cms/wp-content/uploads/2022/03/EWI_WP_22-04_Fit-for-55.pdf" TargetMode="External"/><Relationship Id="rId20" Type="http://schemas.openxmlformats.org/officeDocument/2006/relationships/hyperlink" Target="http://dx.doi.org/10.2307/41323030" TargetMode="External"/><Relationship Id="rId41" Type="http://schemas.openxmlformats.org/officeDocument/2006/relationships/hyperlink" Target="http://data.europa.eu/eli/dir/2009/29/oj" TargetMode="External"/><Relationship Id="rId62" Type="http://schemas.openxmlformats.org/officeDocument/2006/relationships/hyperlink" Target="https://doi.org/10.1017/CBO9780511813207.004" TargetMode="External"/><Relationship Id="rId83" Type="http://schemas.openxmlformats.org/officeDocument/2006/relationships/hyperlink" Target="https://iea.blob.core.windows.net/assets/9e3a3493-b9a6-4b7d-b499-7ca48e357561/The_Future_of_Hydrogen.pdf" TargetMode="External"/><Relationship Id="rId88" Type="http://schemas.openxmlformats.org/officeDocument/2006/relationships/hyperlink" Target="https://www.irena.org/-/media/Files/IRENA/Agency/Publication/2022/Jan/IRENA_Geopolitics_Hydrogen_2022.pdf" TargetMode="External"/><Relationship Id="rId111" Type="http://schemas.openxmlformats.org/officeDocument/2006/relationships/hyperlink" Target="https://aip.scitation.org/doi/abs/10.1063/1.4860858" TargetMode="External"/><Relationship Id="rId132" Type="http://schemas.openxmlformats.org/officeDocument/2006/relationships/hyperlink" Target="https://www.oxfordenergy.org/wpcms/wp-content/uploads/2021/02/THE-NEXT-PRIZE-GEOPOLITICAL-STAKES-IN-THE-CLEAN-HYDROGEN-RACE.pdf" TargetMode="External"/><Relationship Id="rId15" Type="http://schemas.openxmlformats.org/officeDocument/2006/relationships/image" Target="media/image8.png"/><Relationship Id="rId36" Type="http://schemas.openxmlformats.org/officeDocument/2006/relationships/hyperlink" Target="https://doi.org/10.1073/pnas.1816020116" TargetMode="External"/><Relationship Id="rId57" Type="http://schemas.openxmlformats.org/officeDocument/2006/relationships/hyperlink" Target="https://ec.europa.eu/clima/system/files/2022-07/20221712_presentation_1_en_0.pdf" TargetMode="External"/><Relationship Id="rId106" Type="http://schemas.openxmlformats.org/officeDocument/2006/relationships/hyperlink" Target="https://doi.org/10.3390/su13010298" TargetMode="External"/><Relationship Id="rId127" Type="http://schemas.openxmlformats.org/officeDocument/2006/relationships/hyperlink" Target="https://www.sciencedirect.com/science/article/pii/S0962629821002390" TargetMode="External"/><Relationship Id="rId10" Type="http://schemas.openxmlformats.org/officeDocument/2006/relationships/image" Target="media/image3.png"/><Relationship Id="rId31" Type="http://schemas.openxmlformats.org/officeDocument/2006/relationships/hyperlink" Target="https://core.ac.uk/download/pdf/151602658.pdf" TargetMode="External"/><Relationship Id="rId52" Type="http://schemas.openxmlformats.org/officeDocument/2006/relationships/hyperlink" Target="https://eur-lex.europa.eu/resource.html?uri=cellar:7b89687a-eec6-11eb-a71c-01aa75ed71a1.0001.01/DOC_1&amp;format=PDF" TargetMode="External"/><Relationship Id="rId73" Type="http://schemas.openxmlformats.org/officeDocument/2006/relationships/hyperlink" Target="https://doi.org/10.1108/13590791111127750" TargetMode="External"/><Relationship Id="rId78" Type="http://schemas.openxmlformats.org/officeDocument/2006/relationships/hyperlink" Target="https://doi.org/10.1016/j.oneear.2022.05.005" TargetMode="External"/><Relationship Id="rId94" Type="http://schemas.openxmlformats.org/officeDocument/2006/relationships/hyperlink" Target="https://doi.org/10.1016/j.enpol.2022.112950" TargetMode="External"/><Relationship Id="rId99" Type="http://schemas.openxmlformats.org/officeDocument/2006/relationships/hyperlink" Target="https://cadmus.eui.eu/browse?type=author&amp;value=VERDE,%20Stefano%20F." TargetMode="External"/><Relationship Id="rId101" Type="http://schemas.openxmlformats.org/officeDocument/2006/relationships/hyperlink" Target="http://hdl.handle.net/1814/47525" TargetMode="External"/><Relationship Id="rId122" Type="http://schemas.openxmlformats.org/officeDocument/2006/relationships/hyperlink" Target="http://dx.doi.org/10.1080/14693062.2005.9685542"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dx.doi.org/10.2139/ssrn.3138407" TargetMode="External"/><Relationship Id="rId47" Type="http://schemas.openxmlformats.org/officeDocument/2006/relationships/hyperlink" Target="https://eur-lex.europa.eu/legal-content/EN/TXT/?uri=COM%3A2019%3A640%3AFIN" TargetMode="External"/><Relationship Id="rId68" Type="http://schemas.openxmlformats.org/officeDocument/2006/relationships/hyperlink" Target="https://www.european-aluminium.eu/media/3553/2022-05-20-european-aluminium-response-to-repowereu.pdf" TargetMode="External"/><Relationship Id="rId89" Type="http://schemas.openxmlformats.org/officeDocument/2006/relationships/hyperlink" Target="https://doi.org/10.1016/j.enconman.2020.113649" TargetMode="External"/><Relationship Id="rId112" Type="http://schemas.openxmlformats.org/officeDocument/2006/relationships/hyperlink" Target="https://doi.org/10.1016/j.ijhydene.2017.12.081" TargetMode="External"/><Relationship Id="rId133" Type="http://schemas.openxmlformats.org/officeDocument/2006/relationships/hyperlink" Target="https://doi.org/10.1039/D0EE0154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DA8B-B241-4DED-88C5-C111B086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19215</Words>
  <Characters>105683</Characters>
  <Application>Microsoft Office Word</Application>
  <DocSecurity>0</DocSecurity>
  <Lines>880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Vincent</dc:creator>
  <cp:keywords/>
  <dc:description/>
  <cp:lastModifiedBy>Damien Vincent</cp:lastModifiedBy>
  <cp:revision>715</cp:revision>
  <dcterms:created xsi:type="dcterms:W3CDTF">2022-07-02T11:10:00Z</dcterms:created>
  <dcterms:modified xsi:type="dcterms:W3CDTF">2022-08-10T07:59:00Z</dcterms:modified>
</cp:coreProperties>
</file>